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A0" w:rsidRPr="00B50119" w:rsidRDefault="005B7AA0" w:rsidP="005B7AA0">
      <w:pPr>
        <w:pStyle w:val="Paragrafoelenco"/>
        <w:numPr>
          <w:ilvl w:val="0"/>
          <w:numId w:val="1"/>
        </w:numPr>
        <w:spacing w:before="20" w:after="20"/>
        <w:rPr>
          <w:b/>
        </w:rPr>
      </w:pPr>
      <w:r w:rsidRPr="00B50119">
        <w:rPr>
          <w:b/>
        </w:rPr>
        <w:t>IL PROBLEMA DELLA VALIDITA’ E DELL’ATTENDIBILITA’ NELLA RICERCA EMPIRICA</w:t>
      </w:r>
    </w:p>
    <w:p w:rsidR="005B7AA0" w:rsidRPr="00B50119" w:rsidRDefault="005B7AA0" w:rsidP="005B7AA0">
      <w:pPr>
        <w:pStyle w:val="Paragrafoelenco"/>
        <w:spacing w:before="20" w:after="20"/>
        <w:ind w:left="927"/>
        <w:rPr>
          <w:b/>
        </w:rPr>
      </w:pPr>
    </w:p>
    <w:p w:rsidR="005B7AA0" w:rsidRDefault="005B7AA0" w:rsidP="005B7AA0">
      <w:pPr>
        <w:spacing w:before="20" w:after="20"/>
        <w:ind w:left="360"/>
      </w:pPr>
      <w:r w:rsidRPr="00B50119">
        <w:t xml:space="preserve">Sia nella </w:t>
      </w:r>
      <w:hyperlink r:id="rId5" w:history="1">
        <w:r w:rsidRPr="00161F6D">
          <w:rPr>
            <w:rStyle w:val="Collegamentoipertestuale"/>
          </w:rPr>
          <w:t>prospettiva realista</w:t>
        </w:r>
      </w:hyperlink>
      <w:r w:rsidRPr="00B50119">
        <w:t xml:space="preserve">, sia nella prospettiva costruttivista,con il termine validità dei risultati di una ricerca si intende la loro rispondenza con quanto effettivamente accade nella realtà empirica. </w:t>
      </w:r>
    </w:p>
    <w:p w:rsidR="005B7AA0" w:rsidRPr="00B50119" w:rsidRDefault="005B7AA0" w:rsidP="005B7AA0">
      <w:pPr>
        <w:spacing w:before="20" w:after="20"/>
        <w:ind w:left="360"/>
      </w:pPr>
      <w:r w:rsidRPr="00B50119">
        <w:t xml:space="preserve">Se calata in un contesto concreto, la validità diventa </w:t>
      </w:r>
      <w:hyperlink r:id="rId6" w:history="1">
        <w:r w:rsidRPr="005B7AA0">
          <w:rPr>
            <w:rStyle w:val="Collegamentoipertestuale"/>
          </w:rPr>
          <w:t>validità ecologica</w:t>
        </w:r>
      </w:hyperlink>
      <w:r w:rsidRPr="00B50119">
        <w:t xml:space="preserve">, cioè la rispondenza tra una data </w:t>
      </w:r>
      <w:hyperlink r:id="rId7" w:history="1">
        <w:r w:rsidRPr="004E30DC">
          <w:rPr>
            <w:rStyle w:val="Collegamentoipertestuale"/>
          </w:rPr>
          <w:t>realtà empirica</w:t>
        </w:r>
      </w:hyperlink>
      <w:r w:rsidRPr="00B50119">
        <w:t xml:space="preserve"> esperita quotidianamente dai soggetti che vi operano e le conclusioni che il ricercatore ricava dalla studio di quella data realtà empirica. L’impostazione realista mette l’accento sulla validità come rigore metodologico rispetto alle procedure di ricerca e dei canoni imposti dal metodo. L’impostazione costruttivista mette l’accento sulla validità come rigore interpretativo e come </w:t>
      </w:r>
      <w:hyperlink r:id="rId8" w:history="1">
        <w:r w:rsidRPr="005B7AA0">
          <w:rPr>
            <w:rStyle w:val="Collegamentoipertestuale"/>
          </w:rPr>
          <w:t>analisi</w:t>
        </w:r>
      </w:hyperlink>
      <w:r w:rsidRPr="00B50119">
        <w:t xml:space="preserve"> delle stesso evento da più punti di vista e prospettive, puntando alla </w:t>
      </w:r>
      <w:proofErr w:type="spellStart"/>
      <w:r w:rsidRPr="00B50119">
        <w:t>confermabilità</w:t>
      </w:r>
      <w:proofErr w:type="spellEnd"/>
      <w:r w:rsidRPr="00B50119">
        <w:t xml:space="preserve"> dei risultati ottenuti. Nell’impostazione realista la validità dei risultati della ricerca dipenderà dalla validità dei singoli passaggi, soprattutto dalla rilevazione e dall’analisi dei dati; nell’impostazione costruttivista la validità della ricerca dipenderà dalla capacità del ricercatore di cogliere con precisione gli elementi essenziali della realtà studiata e di farlo ponendosi in relazione con essa secondo molteplici prospettive. La validità di una definizione operativa è una proprietà del rapporto tra un </w:t>
      </w:r>
      <w:hyperlink r:id="rId9" w:history="1">
        <w:r w:rsidRPr="004E30DC">
          <w:rPr>
            <w:rStyle w:val="Collegamentoipertestuale"/>
          </w:rPr>
          <w:t>costrutto</w:t>
        </w:r>
      </w:hyperlink>
      <w:r w:rsidRPr="00B50119">
        <w:t xml:space="preserve"> e si suoi indicatori e può essere intesa come il grado di precisione e di accuratezza della definizione operativa data dal costrutto stesso. Vi sono 4 tipi di validità: </w:t>
      </w:r>
    </w:p>
    <w:p w:rsidR="000801B9" w:rsidRDefault="005B7AA0" w:rsidP="005B7AA0">
      <w:pPr>
        <w:pStyle w:val="Paragrafoelenco"/>
        <w:numPr>
          <w:ilvl w:val="0"/>
          <w:numId w:val="2"/>
        </w:numPr>
        <w:suppressAutoHyphens/>
        <w:spacing w:before="20" w:after="20" w:line="240" w:lineRule="auto"/>
      </w:pPr>
      <w:r w:rsidRPr="00B50119">
        <w:t>validità apparente</w:t>
      </w:r>
      <w:r w:rsidR="000801B9">
        <w:t xml:space="preserve"> </w:t>
      </w:r>
      <w:r w:rsidR="00330C79">
        <w:t xml:space="preserve"> Validità che fa riferimento alla percezione dello strumento di rilevazione da parte dei soggetti coinvolti nella </w:t>
      </w:r>
      <w:r w:rsidR="00330C79" w:rsidRPr="00330C79">
        <w:t>rilevazione dei dati</w:t>
      </w:r>
    </w:p>
    <w:p w:rsidR="005B7AA0" w:rsidRPr="00B50119" w:rsidRDefault="000801B9" w:rsidP="005B7AA0">
      <w:pPr>
        <w:pStyle w:val="Paragrafoelenco"/>
        <w:numPr>
          <w:ilvl w:val="0"/>
          <w:numId w:val="2"/>
        </w:numPr>
        <w:suppressAutoHyphens/>
        <w:spacing w:before="20" w:after="20" w:line="240" w:lineRule="auto"/>
      </w:pPr>
      <w:r>
        <w:t>Esempio: in un test che mira a rilevare le competenze in matematica degli adulti, una domanda del tipo “Se Marco ha undici mele e ne mangia quattro, quale sarà la proporzione di mele che ha consumato?” sarà immediatamente riconosciuta come non adeguata ai soggetti della ricerca, dato che questo tipo di formulazione è pensato per soggetti in età da scuola primaria, e quindi mancherà di validità apparente. Una formulazione corretta potrebbe essere “Se il suo reddito mensile fosse di 1100 euro e lei ne spendesse 400 per l’affitto in quale proporzione l’affitto inciderebbe sul suo bilancio mensile?”. L’abilità rilevata è la stessa, ma la formulazione è adeguata ad un pubblico adulto</w:t>
      </w:r>
    </w:p>
    <w:p w:rsidR="005B7AA0" w:rsidRPr="00B50119" w:rsidRDefault="004E30DC" w:rsidP="00330C79">
      <w:pPr>
        <w:pStyle w:val="Paragrafoelenco"/>
        <w:numPr>
          <w:ilvl w:val="0"/>
          <w:numId w:val="2"/>
        </w:numPr>
        <w:suppressAutoHyphens/>
        <w:spacing w:before="20" w:after="20" w:line="240" w:lineRule="auto"/>
      </w:pPr>
      <w:hyperlink r:id="rId10" w:history="1">
        <w:r w:rsidR="005B7AA0" w:rsidRPr="004E30DC">
          <w:rPr>
            <w:rStyle w:val="Collegamentoipertestuale"/>
          </w:rPr>
          <w:t>validità di</w:t>
        </w:r>
        <w:r w:rsidR="005B7AA0" w:rsidRPr="004E30DC">
          <w:rPr>
            <w:rStyle w:val="Collegamentoipertestuale"/>
          </w:rPr>
          <w:t xml:space="preserve"> </w:t>
        </w:r>
        <w:r w:rsidR="005B7AA0" w:rsidRPr="004E30DC">
          <w:rPr>
            <w:rStyle w:val="Collegamentoipertestuale"/>
          </w:rPr>
          <w:t>con</w:t>
        </w:r>
        <w:r w:rsidR="005B7AA0" w:rsidRPr="004E30DC">
          <w:rPr>
            <w:rStyle w:val="Collegamentoipertestuale"/>
          </w:rPr>
          <w:t>t</w:t>
        </w:r>
        <w:r w:rsidR="005B7AA0" w:rsidRPr="004E30DC">
          <w:rPr>
            <w:rStyle w:val="Collegamentoipertestuale"/>
          </w:rPr>
          <w:t>enuto</w:t>
        </w:r>
      </w:hyperlink>
      <w:r w:rsidR="000801B9">
        <w:t>_</w:t>
      </w:r>
      <w:r w:rsidR="00330C79" w:rsidRPr="00330C79">
        <w:t xml:space="preserve"> </w:t>
      </w:r>
      <w:r w:rsidR="00330C79">
        <w:t>La si controlla su un piano puramente teorico, scomponendo analiticamente il concetto studiato in tutte le sue dimensioni ed assicurandosi che l’indicatore le copra tutte, mediante una rassegna della letteratura o l’ascolto del parere di più giudici.</w:t>
      </w:r>
    </w:p>
    <w:p w:rsidR="005B7AA0" w:rsidRDefault="005B7AA0" w:rsidP="00330C79">
      <w:pPr>
        <w:pStyle w:val="Paragrafoelenco"/>
        <w:numPr>
          <w:ilvl w:val="0"/>
          <w:numId w:val="2"/>
        </w:numPr>
        <w:suppressAutoHyphens/>
        <w:spacing w:before="20" w:after="20" w:line="240" w:lineRule="auto"/>
      </w:pPr>
      <w:r w:rsidRPr="00B50119">
        <w:t>validità in base a un criterio</w:t>
      </w:r>
      <w:r w:rsidR="000801B9">
        <w:t>_</w:t>
      </w:r>
      <w:r w:rsidRPr="00B50119">
        <w:t xml:space="preserve"> </w:t>
      </w:r>
      <w:r w:rsidR="000801B9">
        <w:t xml:space="preserve">E’ una verifica che non avviene sul piano teorico, come per la validità di contenuto, ma su quello empirico, ossia all’atto della </w:t>
      </w:r>
      <w:r w:rsidR="000801B9" w:rsidRPr="000801B9">
        <w:t>rilevaz</w:t>
      </w:r>
      <w:r w:rsidR="000801B9" w:rsidRPr="000801B9">
        <w:t>i</w:t>
      </w:r>
      <w:r w:rsidR="000801B9" w:rsidRPr="000801B9">
        <w:t>one dei dati</w:t>
      </w:r>
      <w:r w:rsidR="000801B9">
        <w:t>. La validazione dei dati raccolti mediante un insieme di indicatori predisposto dal ricercatore avviene servendosi di un secondo insieme di indicatori, che si suppone già validato o comunque provvisto di validità di contenuto.</w:t>
      </w:r>
    </w:p>
    <w:p w:rsidR="000801B9" w:rsidRPr="00B50119" w:rsidRDefault="000801B9" w:rsidP="00330C79">
      <w:pPr>
        <w:pStyle w:val="Paragrafoelenco"/>
        <w:suppressAutoHyphens/>
        <w:spacing w:before="20" w:after="20" w:line="240" w:lineRule="auto"/>
      </w:pPr>
      <w:r>
        <w:t xml:space="preserve">Allo stesso gruppo viene somministrato un test nuovo da validare e un test vecchio già validato: se ci si aspetta che i risultati siano in relazione si ha validità </w:t>
      </w:r>
      <w:r>
        <w:rPr>
          <w:i/>
          <w:iCs/>
        </w:rPr>
        <w:t>convergente</w:t>
      </w:r>
      <w:r>
        <w:t xml:space="preserve">, se ci si aspetta che i risultati non lo siano (perché il secondo test valuta un costrutto diverso) si ha validità </w:t>
      </w:r>
      <w:r>
        <w:rPr>
          <w:i/>
          <w:iCs/>
        </w:rPr>
        <w:t>discriminante</w:t>
      </w:r>
      <w:r>
        <w:t xml:space="preserve">. </w:t>
      </w:r>
      <w:r>
        <w:br/>
        <w:t>Può essere</w:t>
      </w:r>
      <w:r>
        <w:rPr>
          <w:i/>
          <w:iCs/>
        </w:rPr>
        <w:t xml:space="preserve"> predittiva</w:t>
      </w:r>
      <w:r>
        <w:t xml:space="preserve">, se vi è coerenza tra il dato dell’indicatore e un dato rilevato mediante un evento successivo ad esso connesso (ad esempio se vi è relazione tra il risultato del test di ammissione all’università e i voti ottenuti agli esami) o </w:t>
      </w:r>
      <w:r>
        <w:rPr>
          <w:i/>
          <w:iCs/>
        </w:rPr>
        <w:t>concorrente</w:t>
      </w:r>
      <w:r>
        <w:t xml:space="preserve"> se il dato dell’indicatore è coerente con un altro rilevato nello stesso momento temporale (ad esempio due test di profitto basati su tipi di domande diverse che rilevano la stessa abilità). </w:t>
      </w:r>
      <w:r>
        <w:br/>
        <w:t xml:space="preserve">Può essere validità </w:t>
      </w:r>
      <w:r>
        <w:rPr>
          <w:i/>
          <w:iCs/>
        </w:rPr>
        <w:t>per gruppi noti</w:t>
      </w:r>
      <w:r>
        <w:t>, se l’indicatore viene applicato a soggetti della quale sia nota al posizione sulla proprietà da rilevare (ad esempio si chiede ai soggetti quanti esami hanno sostenuto, avendo già il dato di controllo a disposizione).</w:t>
      </w:r>
    </w:p>
    <w:p w:rsidR="005B7AA0" w:rsidRDefault="005B7AA0" w:rsidP="005B7AA0">
      <w:pPr>
        <w:pStyle w:val="Paragrafoelenco"/>
        <w:numPr>
          <w:ilvl w:val="0"/>
          <w:numId w:val="2"/>
        </w:numPr>
        <w:suppressAutoHyphens/>
        <w:spacing w:before="20" w:after="20" w:line="240" w:lineRule="auto"/>
      </w:pPr>
      <w:r w:rsidRPr="00B50119">
        <w:t>validità di costrutto</w:t>
      </w:r>
    </w:p>
    <w:p w:rsidR="000801B9" w:rsidRPr="00B50119" w:rsidRDefault="000801B9" w:rsidP="00330C79">
      <w:pPr>
        <w:pStyle w:val="Paragrafoelenco"/>
        <w:suppressAutoHyphens/>
        <w:spacing w:before="20" w:after="20" w:line="240" w:lineRule="auto"/>
      </w:pPr>
      <w:r>
        <w:t xml:space="preserve">Riunisce e riassume le validazioni effettuate sul piano teorico (validità di contenuto) e sul piano empirico (validità in base a un criterio). E’ un giudizio sull’appropriatezza delle deduzioni effettuate su un costrutto in base alle rilevazioni empiriche ottenute da un insieme di indicatori e alle </w:t>
      </w:r>
      <w:r>
        <w:lastRenderedPageBreak/>
        <w:t xml:space="preserve">riflessioni teoriche su di essi. Si ha validità di costrutto se la riflessione teorica e le rilevazioni empiriche collimano nel determinare che l’indicatore ha rappresentanza semantica con un singolo costrutto, se le rilevazioni empiriche sono coerenti con quanto previsto dalla riflessione teorica, se le rilevazioni ottenute mediante un indicatore concordano (secondo quanto previsto dalla definizione del costrutto data all’atto della definizione del quadro teorico di riferimento) con quelle ottenute mediante altri indicatori o ricorrendo a tecniche diverse di rilevazione (validità convergente), se la rilevazione empirica evidenzia l’assenza di relazioni tra </w:t>
      </w:r>
      <w:hyperlink r:id="rId11" w:tooltip="Argomento: Gli indicatori" w:history="1">
        <w:r>
          <w:rPr>
            <w:rStyle w:val="Collegamentoipertestuale"/>
          </w:rPr>
          <w:t>gli ind</w:t>
        </w:r>
        <w:r>
          <w:rPr>
            <w:rStyle w:val="Collegamentoipertestuale"/>
          </w:rPr>
          <w:t>i</w:t>
        </w:r>
        <w:r>
          <w:rPr>
            <w:rStyle w:val="Collegamentoipertestuale"/>
          </w:rPr>
          <w:t>catori</w:t>
        </w:r>
      </w:hyperlink>
      <w:r>
        <w:t xml:space="preserve"> del costrutto sotto esame e altri volti a rilevare costrutti diversi da questo (validità discriminante), se l’evidenza empirica dimostra che fattori che il quadro teorico prevede siano in relazione sono effettivamente in relazione tra di loro (validità fattoriale).</w:t>
      </w:r>
    </w:p>
    <w:p w:rsidR="005B7AA0" w:rsidRPr="00B50119" w:rsidRDefault="005B7AA0" w:rsidP="005B7AA0">
      <w:pPr>
        <w:spacing w:before="20" w:after="20"/>
      </w:pPr>
    </w:p>
    <w:p w:rsidR="005B7AA0" w:rsidRPr="00B50119" w:rsidRDefault="005B7AA0" w:rsidP="005B7AA0">
      <w:pPr>
        <w:spacing w:before="20" w:after="20"/>
        <w:ind w:left="360"/>
      </w:pPr>
      <w:r w:rsidRPr="00B50119">
        <w:t>Per quanto riguarda la validità dell’analisi dei dati si distinguono:</w:t>
      </w:r>
    </w:p>
    <w:p w:rsidR="005B7AA0" w:rsidRPr="00B50119" w:rsidRDefault="005B7AA0" w:rsidP="005B7AA0">
      <w:pPr>
        <w:pStyle w:val="Paragrafoelenco"/>
        <w:numPr>
          <w:ilvl w:val="0"/>
          <w:numId w:val="3"/>
        </w:numPr>
        <w:suppressAutoHyphens/>
        <w:spacing w:before="20" w:after="20" w:line="240" w:lineRule="auto"/>
      </w:pPr>
      <w:r w:rsidRPr="00B50119">
        <w:t>validità relativa alla conclusioni statistiche</w:t>
      </w:r>
    </w:p>
    <w:p w:rsidR="005B7AA0" w:rsidRPr="00B50119" w:rsidRDefault="005B7AA0" w:rsidP="005B7AA0">
      <w:pPr>
        <w:pStyle w:val="Paragrafoelenco"/>
        <w:numPr>
          <w:ilvl w:val="0"/>
          <w:numId w:val="3"/>
        </w:numPr>
        <w:suppressAutoHyphens/>
        <w:spacing w:before="20" w:after="20" w:line="240" w:lineRule="auto"/>
      </w:pPr>
      <w:r w:rsidRPr="00B50119">
        <w:t>validità relativa all’interpretazione dei dati</w:t>
      </w:r>
    </w:p>
    <w:p w:rsidR="005B7AA0" w:rsidRPr="00B50119" w:rsidRDefault="005B7AA0" w:rsidP="005B7AA0">
      <w:pPr>
        <w:pStyle w:val="Paragrafoelenco"/>
        <w:numPr>
          <w:ilvl w:val="0"/>
          <w:numId w:val="3"/>
        </w:numPr>
        <w:suppressAutoHyphens/>
        <w:spacing w:before="20" w:after="20" w:line="240" w:lineRule="auto"/>
      </w:pPr>
      <w:r w:rsidRPr="00B50119">
        <w:t>validità come artefatto</w:t>
      </w:r>
    </w:p>
    <w:p w:rsidR="005B7AA0" w:rsidRPr="00B50119" w:rsidRDefault="005B7AA0" w:rsidP="005B7AA0">
      <w:pPr>
        <w:pStyle w:val="Paragrafoelenco"/>
        <w:numPr>
          <w:ilvl w:val="0"/>
          <w:numId w:val="3"/>
        </w:numPr>
        <w:suppressAutoHyphens/>
        <w:spacing w:before="20" w:after="20" w:line="240" w:lineRule="auto"/>
      </w:pPr>
      <w:r w:rsidRPr="00B50119">
        <w:t>validità come comunicazione</w:t>
      </w:r>
    </w:p>
    <w:p w:rsidR="005B7AA0" w:rsidRPr="00B50119" w:rsidRDefault="005B7AA0" w:rsidP="005B7AA0">
      <w:pPr>
        <w:pStyle w:val="Paragrafoelenco"/>
        <w:numPr>
          <w:ilvl w:val="0"/>
          <w:numId w:val="3"/>
        </w:numPr>
        <w:suppressAutoHyphens/>
        <w:spacing w:before="20" w:after="20" w:line="240" w:lineRule="auto"/>
      </w:pPr>
      <w:r w:rsidRPr="00B50119">
        <w:t xml:space="preserve">validità </w:t>
      </w:r>
      <w:hyperlink r:id="rId12" w:history="1">
        <w:r w:rsidRPr="004E30DC">
          <w:rPr>
            <w:rStyle w:val="Collegamentoipertestuale"/>
          </w:rPr>
          <w:t>pragmatica</w:t>
        </w:r>
      </w:hyperlink>
    </w:p>
    <w:p w:rsidR="005B7AA0" w:rsidRPr="00B50119" w:rsidRDefault="005B7AA0" w:rsidP="005B7AA0">
      <w:pPr>
        <w:spacing w:before="20" w:after="20"/>
      </w:pPr>
    </w:p>
    <w:p w:rsidR="005B7AA0" w:rsidRPr="00B50119" w:rsidRDefault="005B7AA0" w:rsidP="005B7AA0">
      <w:pPr>
        <w:spacing w:before="20" w:after="20"/>
        <w:ind w:left="360"/>
      </w:pPr>
      <w:r w:rsidRPr="00B50119">
        <w:t xml:space="preserve">In questo approccio la validità interna va intesa come credibilità, cioè fiducia che i soggetti studiati ripongono nella plausibilità dei risultati della ricerca. Per la validità esterna si intende la possibilità di estendere i risultati della ricerca a contesti diversi da quelli nei quali sono stati prodotti. Nell’approccio realista fa riferimento alla </w:t>
      </w:r>
      <w:proofErr w:type="spellStart"/>
      <w:r w:rsidRPr="00B50119">
        <w:t>generalizzabilità</w:t>
      </w:r>
      <w:proofErr w:type="spellEnd"/>
      <w:r w:rsidRPr="00B50119">
        <w:t xml:space="preserve"> dei risultati; nell’approccio costruttivista la </w:t>
      </w:r>
      <w:hyperlink r:id="rId13" w:history="1">
        <w:r w:rsidRPr="000801B9">
          <w:rPr>
            <w:rStyle w:val="Collegamentoipertestuale"/>
          </w:rPr>
          <w:t>validità esterna</w:t>
        </w:r>
      </w:hyperlink>
      <w:r w:rsidRPr="00B50119">
        <w:t xml:space="preserve"> assume caratteri della trasferibilità dei risultati della ricerca ad altri contesti. </w:t>
      </w:r>
    </w:p>
    <w:p w:rsidR="005B7AA0" w:rsidRDefault="005B7AA0" w:rsidP="005B7AA0">
      <w:pPr>
        <w:spacing w:before="20" w:after="20"/>
        <w:ind w:left="360"/>
      </w:pPr>
      <w:r w:rsidRPr="00B50119">
        <w:t>L’</w:t>
      </w:r>
      <w:hyperlink r:id="rId14" w:history="1">
        <w:r w:rsidRPr="000801B9">
          <w:rPr>
            <w:rStyle w:val="Collegamentoipertestuale"/>
          </w:rPr>
          <w:t>attendibilità</w:t>
        </w:r>
      </w:hyperlink>
      <w:r w:rsidRPr="00B50119">
        <w:t xml:space="preserve"> è la proprietà di un procedimento di ricerca di giungere agli stessi risultati in presenza delle medesime condizioni iniziali. Sia nella prospettiva realista, sia nella prospettiva costruttivista l’attendibilità si esprime nella costanza dei risultati della rilevazione e dell’analisi con strumenti diversi in condizioni e situazioni diverse, ma a parità degli elementi che costituiscono l’oggetto di rilevazione. L’attendibilità e la validità dipendono dalla coerenza interna del processo di rilevazione degli indicatori e degli strumenti utilizzati. Nell’approccio realista l’attendibilità indica il grado di congruenza tra due o più variabili della matrice dati ottenute da più rilevazioni della stessa proprietà in condizioni differenti.</w:t>
      </w:r>
    </w:p>
    <w:p w:rsidR="0032080B" w:rsidRDefault="0032080B"/>
    <w:sectPr w:rsidR="0032080B" w:rsidSect="0032080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255D6"/>
    <w:multiLevelType w:val="hybridMultilevel"/>
    <w:tmpl w:val="C796668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77B35960"/>
    <w:multiLevelType w:val="hybridMultilevel"/>
    <w:tmpl w:val="F7A07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9AD2DBA"/>
    <w:multiLevelType w:val="hybridMultilevel"/>
    <w:tmpl w:val="23D036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B7AA0"/>
    <w:rsid w:val="000801B9"/>
    <w:rsid w:val="00161F6D"/>
    <w:rsid w:val="0032080B"/>
    <w:rsid w:val="00330C79"/>
    <w:rsid w:val="004E30DC"/>
    <w:rsid w:val="005B7AA0"/>
    <w:rsid w:val="00D43C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B7AA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B7AA0"/>
    <w:pPr>
      <w:ind w:left="720"/>
      <w:contextualSpacing/>
    </w:pPr>
  </w:style>
  <w:style w:type="character" w:styleId="Collegamentoipertestuale">
    <w:name w:val="Hyperlink"/>
    <w:basedOn w:val="Carpredefinitoparagrafo"/>
    <w:uiPriority w:val="99"/>
    <w:unhideWhenUsed/>
    <w:rsid w:val="005B7AA0"/>
    <w:rPr>
      <w:color w:val="0000FF" w:themeColor="hyperlink"/>
      <w:u w:val="single"/>
    </w:rPr>
  </w:style>
  <w:style w:type="character" w:styleId="Collegamentovisitato">
    <w:name w:val="FollowedHyperlink"/>
    <w:basedOn w:val="Carpredefinitoparagrafo"/>
    <w:uiPriority w:val="99"/>
    <w:semiHidden/>
    <w:unhideWhenUsed/>
    <w:rsid w:val="000801B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eccani.it/Portale/elements/categoriesItems.jsp?pathFile=/sites/default/BancaDati/Vocabolario_online/A/VIT_III_A_005179.xml" TargetMode="External"/><Relationship Id="rId13" Type="http://schemas.openxmlformats.org/officeDocument/2006/relationships/hyperlink" Target="http://www.galenotech.org/campion1.htm" TargetMode="External"/><Relationship Id="rId3" Type="http://schemas.openxmlformats.org/officeDocument/2006/relationships/settings" Target="settings.xml"/><Relationship Id="rId7" Type="http://schemas.openxmlformats.org/officeDocument/2006/relationships/hyperlink" Target="http://it.wikipedia.org/wiki/Empirismo" TargetMode="External"/><Relationship Id="rId12" Type="http://schemas.openxmlformats.org/officeDocument/2006/relationships/hyperlink" Target="http://www.etimo.it/?term=prammatic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hyperlabs.net/ergonomia/presentazioni/sperimentale/04.html" TargetMode="External"/><Relationship Id="rId11" Type="http://schemas.openxmlformats.org/officeDocument/2006/relationships/hyperlink" Target="http://www.edurete.org/public/pedagogia_sperimentale/corso.aspx?mod=3&amp;uni=3&amp;arg=3&amp;pag=1" TargetMode="External"/><Relationship Id="rId5" Type="http://schemas.openxmlformats.org/officeDocument/2006/relationships/hyperlink" Target="http://www.edurete.org/public/pedagogia_sperimentale/corso.aspx?mod=1&amp;uni=2&amp;arg=5&amp;pag=1" TargetMode="External"/><Relationship Id="rId15" Type="http://schemas.openxmlformats.org/officeDocument/2006/relationships/fontTable" Target="fontTable.xml"/><Relationship Id="rId10" Type="http://schemas.openxmlformats.org/officeDocument/2006/relationships/hyperlink" Target="http://www.edurete.org/public/pedagogia_sperimentale/corso.aspx?mod=4&amp;uni=12&amp;arg=2&amp;pag=1" TargetMode="External"/><Relationship Id="rId4" Type="http://schemas.openxmlformats.org/officeDocument/2006/relationships/webSettings" Target="webSettings.xml"/><Relationship Id="rId9" Type="http://schemas.openxmlformats.org/officeDocument/2006/relationships/hyperlink" Target="http://www.treccani.it/Portale/elements/categoriesItems.jsp?pathFile=/sites/default/BancaDati/Vocabolario_online/C/VIT_III_C_029023.xml" TargetMode="External"/><Relationship Id="rId14" Type="http://schemas.openxmlformats.org/officeDocument/2006/relationships/hyperlink" Target="http://it.wikipedia.org/wiki/Attendibilit%C3%A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1177</Words>
  <Characters>6711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dcterms:created xsi:type="dcterms:W3CDTF">2010-04-08T14:59:00Z</dcterms:created>
  <dcterms:modified xsi:type="dcterms:W3CDTF">2010-04-08T15:38:00Z</dcterms:modified>
</cp:coreProperties>
</file>