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211" w:rsidRDefault="006D00FA">
      <w:pPr>
        <w:rPr>
          <w:b/>
          <w:sz w:val="40"/>
          <w:szCs w:val="40"/>
        </w:rPr>
      </w:pPr>
      <w:r w:rsidRPr="006D00FA">
        <w:rPr>
          <w:b/>
          <w:sz w:val="40"/>
          <w:szCs w:val="40"/>
        </w:rPr>
        <w:t>I tipi di intervista di gruppo:</w:t>
      </w:r>
    </w:p>
    <w:p w:rsidR="006D00FA" w:rsidRDefault="006D00FA">
      <w:pPr>
        <w:rPr>
          <w:sz w:val="28"/>
          <w:szCs w:val="28"/>
        </w:rPr>
      </w:pPr>
      <w:r>
        <w:rPr>
          <w:sz w:val="28"/>
          <w:szCs w:val="28"/>
        </w:rPr>
        <w:t>Di Laura Basile</w:t>
      </w:r>
    </w:p>
    <w:p w:rsidR="006D00FA" w:rsidRPr="006D00FA" w:rsidRDefault="00CF7F93">
      <w:pPr>
        <w:rPr>
          <w:sz w:val="24"/>
          <w:szCs w:val="28"/>
        </w:rPr>
      </w:pPr>
      <w:hyperlink r:id="rId5" w:history="1">
        <w:r w:rsidR="006D00FA" w:rsidRPr="006D00FA">
          <w:rPr>
            <w:rStyle w:val="Collegamentoipertestuale"/>
            <w:sz w:val="24"/>
            <w:szCs w:val="28"/>
          </w:rPr>
          <w:t>laura9933@supereva.it</w:t>
        </w:r>
      </w:hyperlink>
    </w:p>
    <w:p w:rsidR="006D00FA" w:rsidRDefault="006D00FA">
      <w:pPr>
        <w:rPr>
          <w:sz w:val="28"/>
          <w:szCs w:val="28"/>
        </w:rPr>
      </w:pPr>
    </w:p>
    <w:p w:rsidR="006D00FA" w:rsidRPr="006D00FA" w:rsidRDefault="006D00FA" w:rsidP="006D00FA">
      <w:pPr>
        <w:spacing w:line="360" w:lineRule="auto"/>
        <w:rPr>
          <w:rFonts w:ascii="Arial" w:hAnsi="Arial" w:cs="Arial"/>
          <w:sz w:val="24"/>
          <w:szCs w:val="24"/>
        </w:rPr>
      </w:pPr>
      <w:r w:rsidRPr="006D00FA">
        <w:rPr>
          <w:rFonts w:ascii="Arial" w:hAnsi="Arial" w:cs="Arial"/>
          <w:sz w:val="24"/>
          <w:szCs w:val="24"/>
        </w:rPr>
        <w:t xml:space="preserve">Nell’intervista di gruppo uno o più intervistatori pongono domande a più di un soggetto e questi possono rispondere direttamente agli intervistatori o interagire tra di loro aprendo un </w:t>
      </w:r>
      <w:hyperlink r:id="rId6" w:history="1">
        <w:r w:rsidRPr="00B25856">
          <w:rPr>
            <w:rStyle w:val="Collegamentoipertestuale"/>
            <w:rFonts w:ascii="Arial" w:hAnsi="Arial" w:cs="Arial"/>
            <w:sz w:val="24"/>
            <w:szCs w:val="24"/>
          </w:rPr>
          <w:t>dibattito</w:t>
        </w:r>
      </w:hyperlink>
      <w:r w:rsidRPr="006D00FA">
        <w:rPr>
          <w:rFonts w:ascii="Arial" w:hAnsi="Arial" w:cs="Arial"/>
          <w:sz w:val="24"/>
          <w:szCs w:val="24"/>
        </w:rPr>
        <w:t xml:space="preserve">. </w:t>
      </w:r>
    </w:p>
    <w:p w:rsidR="006D00FA" w:rsidRDefault="006D00FA" w:rsidP="006D00FA">
      <w:pPr>
        <w:spacing w:line="360" w:lineRule="auto"/>
        <w:rPr>
          <w:rFonts w:ascii="Arial" w:hAnsi="Arial" w:cs="Arial"/>
          <w:sz w:val="24"/>
          <w:szCs w:val="24"/>
        </w:rPr>
      </w:pPr>
      <w:r w:rsidRPr="006D00FA">
        <w:rPr>
          <w:rFonts w:ascii="Arial" w:hAnsi="Arial" w:cs="Arial"/>
          <w:sz w:val="24"/>
          <w:szCs w:val="24"/>
        </w:rPr>
        <w:t>E’ possibile identificare i seguenti tipi di intervista</w:t>
      </w:r>
      <w:r w:rsidR="00A85665">
        <w:rPr>
          <w:rFonts w:ascii="Arial" w:hAnsi="Arial" w:cs="Arial"/>
          <w:sz w:val="24"/>
          <w:szCs w:val="24"/>
        </w:rPr>
        <w:t xml:space="preserve"> in</w:t>
      </w:r>
      <w:r w:rsidRPr="006D00FA">
        <w:rPr>
          <w:rFonts w:ascii="Arial" w:hAnsi="Arial" w:cs="Arial"/>
          <w:sz w:val="24"/>
          <w:szCs w:val="24"/>
        </w:rPr>
        <w:t>:</w:t>
      </w:r>
    </w:p>
    <w:p w:rsidR="00B8542D" w:rsidRPr="00DE4E1E" w:rsidRDefault="00B25856" w:rsidP="00DE4E1E">
      <w:pPr>
        <w:pStyle w:val="Paragrafoelenco"/>
        <w:numPr>
          <w:ilvl w:val="0"/>
          <w:numId w:val="1"/>
        </w:numPr>
        <w:spacing w:line="360" w:lineRule="auto"/>
        <w:rPr>
          <w:rFonts w:ascii="Arial" w:hAnsi="Arial" w:cs="Arial"/>
          <w:sz w:val="24"/>
          <w:szCs w:val="24"/>
        </w:rPr>
      </w:pPr>
      <w:hyperlink r:id="rId7" w:history="1">
        <w:r w:rsidR="00A85665" w:rsidRPr="00B25856">
          <w:rPr>
            <w:rStyle w:val="Collegamentoipertestuale"/>
            <w:rFonts w:ascii="Arial" w:hAnsi="Arial" w:cs="Arial"/>
            <w:b/>
            <w:sz w:val="24"/>
            <w:szCs w:val="24"/>
          </w:rPr>
          <w:t xml:space="preserve">Focus </w:t>
        </w:r>
        <w:proofErr w:type="spellStart"/>
        <w:r w:rsidR="00A85665" w:rsidRPr="00B25856">
          <w:rPr>
            <w:rStyle w:val="Collegamentoipertestuale"/>
            <w:rFonts w:ascii="Arial" w:hAnsi="Arial" w:cs="Arial"/>
            <w:b/>
            <w:sz w:val="24"/>
            <w:szCs w:val="24"/>
          </w:rPr>
          <w:t>group</w:t>
        </w:r>
        <w:proofErr w:type="spellEnd"/>
      </w:hyperlink>
      <w:r w:rsidR="00A85665">
        <w:rPr>
          <w:rFonts w:ascii="Arial" w:hAnsi="Arial" w:cs="Arial"/>
          <w:b/>
          <w:sz w:val="24"/>
          <w:szCs w:val="24"/>
        </w:rPr>
        <w:t xml:space="preserve">: </w:t>
      </w:r>
      <w:r w:rsidR="00A85665" w:rsidRPr="00A85665">
        <w:rPr>
          <w:rFonts w:ascii="Arial" w:hAnsi="Arial" w:cs="Arial"/>
          <w:sz w:val="24"/>
          <w:szCs w:val="24"/>
        </w:rPr>
        <w:t xml:space="preserve">è </w:t>
      </w:r>
      <w:r w:rsidR="00A85665">
        <w:rPr>
          <w:rFonts w:ascii="Arial" w:hAnsi="Arial" w:cs="Arial"/>
          <w:sz w:val="24"/>
          <w:szCs w:val="24"/>
        </w:rPr>
        <w:t>un’intervista di gruppo</w:t>
      </w:r>
      <w:r w:rsidR="00A85665" w:rsidRPr="00A85665">
        <w:rPr>
          <w:rFonts w:ascii="Arial" w:hAnsi="Arial" w:cs="Arial"/>
          <w:sz w:val="24"/>
          <w:szCs w:val="24"/>
        </w:rPr>
        <w:t xml:space="preserve"> in cui l’intervistatore</w:t>
      </w:r>
      <w:r w:rsidR="00A85665">
        <w:rPr>
          <w:rFonts w:ascii="Arial" w:hAnsi="Arial" w:cs="Arial"/>
          <w:sz w:val="24"/>
          <w:szCs w:val="24"/>
        </w:rPr>
        <w:t>,</w:t>
      </w:r>
      <w:r w:rsidR="00A85665" w:rsidRPr="00A85665">
        <w:rPr>
          <w:rFonts w:ascii="Arial" w:hAnsi="Arial" w:cs="Arial"/>
          <w:sz w:val="24"/>
          <w:szCs w:val="24"/>
        </w:rPr>
        <w:t xml:space="preserve"> detto anche moderatore, conduce l’intervista su un numero limitato di soggetti. Egli stimola l’interazione, il</w:t>
      </w:r>
      <w:r w:rsidR="00A85665">
        <w:rPr>
          <w:rFonts w:ascii="Arial" w:hAnsi="Arial" w:cs="Arial"/>
          <w:sz w:val="24"/>
          <w:szCs w:val="24"/>
        </w:rPr>
        <w:t xml:space="preserve"> dialogo tra i soggetti stessi e mantiene il focus </w:t>
      </w:r>
      <w:r w:rsidR="00A85665" w:rsidRPr="00A85665">
        <w:rPr>
          <w:rFonts w:ascii="Arial" w:hAnsi="Arial" w:cs="Arial"/>
          <w:sz w:val="24"/>
          <w:szCs w:val="24"/>
        </w:rPr>
        <w:t>della discussione sui temi prefissati dalla scaletta dell’interv</w:t>
      </w:r>
      <w:r w:rsidR="00A85665">
        <w:rPr>
          <w:rFonts w:ascii="Arial" w:hAnsi="Arial" w:cs="Arial"/>
          <w:sz w:val="24"/>
          <w:szCs w:val="24"/>
        </w:rPr>
        <w:t>ista, che è mediamente rigida. L</w:t>
      </w:r>
      <w:r w:rsidR="00A85665" w:rsidRPr="00A85665">
        <w:rPr>
          <w:rFonts w:ascii="Arial" w:hAnsi="Arial" w:cs="Arial"/>
          <w:sz w:val="24"/>
          <w:szCs w:val="24"/>
        </w:rPr>
        <w:t>a discussione si svolge in ambiente artificiale e la situazione ha carattere formale. Questo tipo di intervista viene usato normalmente per rilevare opinioni, atteggiamenti o comportamenti e trova numerose applicazioni, soprattutto quando è necessario rilevare in tempi brevi informazioni con la ricchezza tipica dei dati non strutturati, dato che lo svolgimento di un focus group richiede molto meno tempo dello svolgimento di interviste singole. Sono un ottimo strumento per mettere a punto un questionario e per controllare la comprensibilità delle domande.</w:t>
      </w:r>
    </w:p>
    <w:p w:rsidR="006F2F7D" w:rsidRDefault="00B25856" w:rsidP="00A85665">
      <w:pPr>
        <w:pStyle w:val="Paragrafoelenco"/>
        <w:numPr>
          <w:ilvl w:val="0"/>
          <w:numId w:val="1"/>
        </w:numPr>
        <w:spacing w:line="360" w:lineRule="auto"/>
        <w:rPr>
          <w:rFonts w:ascii="Arial" w:hAnsi="Arial" w:cs="Arial"/>
          <w:sz w:val="24"/>
          <w:szCs w:val="24"/>
        </w:rPr>
      </w:pPr>
      <w:hyperlink r:id="rId8" w:history="1">
        <w:r w:rsidR="00824112" w:rsidRPr="00B25856">
          <w:rPr>
            <w:rStyle w:val="Collegamentoipertestuale"/>
            <w:rFonts w:ascii="Arial" w:hAnsi="Arial" w:cs="Arial"/>
            <w:b/>
            <w:sz w:val="24"/>
            <w:szCs w:val="24"/>
          </w:rPr>
          <w:t>Brainstorming</w:t>
        </w:r>
      </w:hyperlink>
      <w:r w:rsidR="00824112">
        <w:rPr>
          <w:rFonts w:ascii="Arial" w:hAnsi="Arial" w:cs="Arial"/>
          <w:b/>
          <w:sz w:val="24"/>
          <w:szCs w:val="24"/>
        </w:rPr>
        <w:t>:</w:t>
      </w:r>
      <w:r w:rsidR="00824112">
        <w:rPr>
          <w:rFonts w:ascii="Arial" w:hAnsi="Arial" w:cs="Arial"/>
          <w:sz w:val="24"/>
          <w:szCs w:val="24"/>
        </w:rPr>
        <w:t xml:space="preserve"> al contrario del focus </w:t>
      </w:r>
      <w:proofErr w:type="spellStart"/>
      <w:r w:rsidR="00824112">
        <w:rPr>
          <w:rFonts w:ascii="Arial" w:hAnsi="Arial" w:cs="Arial"/>
          <w:sz w:val="24"/>
          <w:szCs w:val="24"/>
        </w:rPr>
        <w:t>group</w:t>
      </w:r>
      <w:proofErr w:type="spellEnd"/>
      <w:r w:rsidR="00824112">
        <w:rPr>
          <w:rFonts w:ascii="Arial" w:hAnsi="Arial" w:cs="Arial"/>
          <w:sz w:val="24"/>
          <w:szCs w:val="24"/>
        </w:rPr>
        <w:t>, prevede un ruolo non direttivo dell’intervistatore.</w:t>
      </w:r>
      <w:r w:rsidR="009F7B88">
        <w:rPr>
          <w:rFonts w:ascii="Arial" w:hAnsi="Arial" w:cs="Arial"/>
          <w:sz w:val="24"/>
          <w:szCs w:val="24"/>
        </w:rPr>
        <w:t xml:space="preserve"> La strutturazione delle domande è molto bassa e l’</w:t>
      </w:r>
      <w:r w:rsidR="00824112">
        <w:rPr>
          <w:rFonts w:ascii="Arial" w:hAnsi="Arial" w:cs="Arial"/>
          <w:sz w:val="24"/>
          <w:szCs w:val="24"/>
        </w:rPr>
        <w:t>obiettivo</w:t>
      </w:r>
      <w:r w:rsidR="009F7B88">
        <w:rPr>
          <w:rFonts w:ascii="Arial" w:hAnsi="Arial" w:cs="Arial"/>
          <w:sz w:val="24"/>
          <w:szCs w:val="24"/>
        </w:rPr>
        <w:t xml:space="preserve"> di questa intervista è di produrre un gran numero di idee pertinenti con il </w:t>
      </w:r>
      <w:r w:rsidR="009F7B88" w:rsidRPr="00B8542D">
        <w:rPr>
          <w:rFonts w:ascii="Arial" w:hAnsi="Arial" w:cs="Arial"/>
          <w:sz w:val="24"/>
          <w:szCs w:val="24"/>
        </w:rPr>
        <w:t>tema di partenza e punta a stimolare l’aspetto</w:t>
      </w:r>
      <w:r w:rsidR="00B8542D" w:rsidRPr="00B8542D">
        <w:rPr>
          <w:rFonts w:ascii="Arial" w:hAnsi="Arial" w:cs="Arial"/>
          <w:sz w:val="24"/>
          <w:szCs w:val="24"/>
        </w:rPr>
        <w:t xml:space="preserve"> creativo delle risposte. Il brainstorming può servirsi di varie tecniche ausiliarie, quali ad esempio:</w:t>
      </w:r>
    </w:p>
    <w:p w:rsidR="00B8542D" w:rsidRDefault="00B25856" w:rsidP="00B8542D">
      <w:pPr>
        <w:pStyle w:val="Paragrafoelenco"/>
        <w:numPr>
          <w:ilvl w:val="0"/>
          <w:numId w:val="2"/>
        </w:numPr>
        <w:spacing w:line="360" w:lineRule="auto"/>
        <w:rPr>
          <w:rFonts w:ascii="Arial" w:hAnsi="Arial" w:cs="Arial"/>
          <w:sz w:val="24"/>
          <w:szCs w:val="24"/>
        </w:rPr>
      </w:pPr>
      <w:hyperlink r:id="rId9" w:history="1">
        <w:r w:rsidR="00B8542D" w:rsidRPr="00B25856">
          <w:rPr>
            <w:rStyle w:val="Collegamentoipertestuale"/>
            <w:rFonts w:ascii="Arial" w:hAnsi="Arial" w:cs="Arial"/>
            <w:b/>
            <w:sz w:val="24"/>
            <w:szCs w:val="24"/>
          </w:rPr>
          <w:t>Il diagramma di affinità</w:t>
        </w:r>
      </w:hyperlink>
      <w:r w:rsidR="00B8542D" w:rsidRPr="00DE4E1E">
        <w:rPr>
          <w:rFonts w:ascii="Arial" w:hAnsi="Arial" w:cs="Arial"/>
          <w:b/>
          <w:sz w:val="24"/>
          <w:szCs w:val="24"/>
        </w:rPr>
        <w:t>:</w:t>
      </w:r>
      <w:r w:rsidR="00B8542D">
        <w:rPr>
          <w:rFonts w:ascii="Arial" w:hAnsi="Arial" w:cs="Arial"/>
          <w:sz w:val="24"/>
          <w:szCs w:val="24"/>
        </w:rPr>
        <w:t xml:space="preserve"> in cui i partecipanti hanno ognuno un blocchetto di foglietti adesivi (</w:t>
      </w:r>
      <w:hyperlink r:id="rId10" w:history="1">
        <w:r w:rsidR="00B8542D" w:rsidRPr="00B25856">
          <w:rPr>
            <w:rStyle w:val="Collegamentoipertestuale"/>
            <w:rFonts w:ascii="Arial" w:hAnsi="Arial" w:cs="Arial"/>
            <w:sz w:val="24"/>
            <w:szCs w:val="24"/>
          </w:rPr>
          <w:t>post-it</w:t>
        </w:r>
      </w:hyperlink>
      <w:r w:rsidR="00B8542D">
        <w:rPr>
          <w:rFonts w:ascii="Arial" w:hAnsi="Arial" w:cs="Arial"/>
          <w:sz w:val="24"/>
          <w:szCs w:val="24"/>
        </w:rPr>
        <w:t xml:space="preserve">), sui quali devono scrivere le loro idee e successivamente attaccarli su di un cartellone. </w:t>
      </w:r>
      <w:r w:rsidR="00B8542D">
        <w:rPr>
          <w:rFonts w:ascii="Arial" w:hAnsi="Arial" w:cs="Arial"/>
          <w:sz w:val="24"/>
        </w:rPr>
        <w:t>L</w:t>
      </w:r>
      <w:r w:rsidR="00B8542D" w:rsidRPr="00B8542D">
        <w:rPr>
          <w:rFonts w:ascii="Arial" w:hAnsi="Arial" w:cs="Arial"/>
          <w:sz w:val="24"/>
        </w:rPr>
        <w:t xml:space="preserve">’intervistatore può staccare e riattaccare i bigliettini, aggregandoli secondo criteri di affinità, </w:t>
      </w:r>
      <w:hyperlink r:id="rId11" w:history="1">
        <w:r w:rsidR="00B8542D" w:rsidRPr="00B25856">
          <w:rPr>
            <w:rStyle w:val="Collegamentoipertestuale"/>
            <w:rFonts w:ascii="Arial" w:hAnsi="Arial" w:cs="Arial"/>
            <w:sz w:val="24"/>
          </w:rPr>
          <w:t>similitudine</w:t>
        </w:r>
      </w:hyperlink>
      <w:r w:rsidR="00B8542D" w:rsidRPr="00B8542D">
        <w:rPr>
          <w:rFonts w:ascii="Arial" w:hAnsi="Arial" w:cs="Arial"/>
          <w:sz w:val="24"/>
        </w:rPr>
        <w:t>, opposizione, discutendo la disposizione con i partecipanti, fino a giungere ad un sistema strutturato di idee condiviso dai partecipanti</w:t>
      </w:r>
      <w:r w:rsidR="00DE4E1E">
        <w:rPr>
          <w:rFonts w:ascii="Arial" w:hAnsi="Arial" w:cs="Arial"/>
          <w:sz w:val="24"/>
        </w:rPr>
        <w:t>.</w:t>
      </w:r>
    </w:p>
    <w:p w:rsidR="00DE4E1E" w:rsidRPr="00DE4E1E" w:rsidRDefault="009435DC" w:rsidP="00DE4E1E">
      <w:pPr>
        <w:pStyle w:val="Paragrafoelenco"/>
        <w:numPr>
          <w:ilvl w:val="0"/>
          <w:numId w:val="2"/>
        </w:numPr>
        <w:spacing w:line="360" w:lineRule="auto"/>
        <w:rPr>
          <w:rFonts w:ascii="Arial" w:hAnsi="Arial" w:cs="Arial"/>
          <w:sz w:val="24"/>
          <w:szCs w:val="24"/>
        </w:rPr>
      </w:pPr>
      <w:hyperlink r:id="rId12" w:history="1">
        <w:r w:rsidR="00DE4E1E" w:rsidRPr="009435DC">
          <w:rPr>
            <w:rStyle w:val="Collegamentoipertestuale"/>
            <w:rFonts w:ascii="Arial" w:hAnsi="Arial" w:cs="Arial"/>
            <w:b/>
            <w:sz w:val="24"/>
            <w:szCs w:val="24"/>
          </w:rPr>
          <w:t>Il diagramma causa-effetto</w:t>
        </w:r>
      </w:hyperlink>
      <w:r w:rsidR="00DE4E1E" w:rsidRPr="00DE4E1E">
        <w:rPr>
          <w:rFonts w:ascii="Arial" w:hAnsi="Arial" w:cs="Arial"/>
          <w:b/>
          <w:sz w:val="24"/>
          <w:szCs w:val="24"/>
        </w:rPr>
        <w:t>:</w:t>
      </w:r>
      <w:r w:rsidR="00DE4E1E" w:rsidRPr="00DE4E1E">
        <w:rPr>
          <w:rFonts w:ascii="Arial" w:hAnsi="Arial" w:cs="Arial"/>
          <w:sz w:val="28"/>
          <w:szCs w:val="24"/>
        </w:rPr>
        <w:t xml:space="preserve"> </w:t>
      </w:r>
      <w:r w:rsidR="00DE4E1E" w:rsidRPr="00DE4E1E">
        <w:rPr>
          <w:rFonts w:ascii="Arial" w:hAnsi="Arial" w:cs="Arial"/>
          <w:sz w:val="24"/>
        </w:rPr>
        <w:t>in cui i partecipanti vengono chiamati dall’intervistatore a ipotizzare le cause di un dato evento e da queste ipotizzare le loro cause, secondo una catena continua di domande</w:t>
      </w:r>
      <w:r w:rsidR="00DE4E1E">
        <w:rPr>
          <w:rFonts w:ascii="Arial" w:hAnsi="Arial" w:cs="Arial"/>
          <w:sz w:val="24"/>
        </w:rPr>
        <w:t>.</w:t>
      </w:r>
    </w:p>
    <w:p w:rsidR="00DE4E1E" w:rsidRPr="00DE4E1E" w:rsidRDefault="009435DC" w:rsidP="00DE4E1E">
      <w:pPr>
        <w:pStyle w:val="Paragrafoelenco"/>
        <w:numPr>
          <w:ilvl w:val="0"/>
          <w:numId w:val="2"/>
        </w:numPr>
        <w:spacing w:line="360" w:lineRule="auto"/>
        <w:rPr>
          <w:rFonts w:ascii="Arial" w:hAnsi="Arial" w:cs="Arial"/>
          <w:sz w:val="24"/>
          <w:szCs w:val="24"/>
        </w:rPr>
      </w:pPr>
      <w:hyperlink r:id="rId13" w:history="1">
        <w:r w:rsidR="00824112" w:rsidRPr="009435DC">
          <w:rPr>
            <w:rStyle w:val="Collegamentoipertestuale"/>
            <w:rFonts w:ascii="Arial" w:hAnsi="Arial" w:cs="Arial"/>
            <w:b/>
            <w:sz w:val="24"/>
            <w:szCs w:val="24"/>
          </w:rPr>
          <w:t>L’analisi del campo di forze</w:t>
        </w:r>
      </w:hyperlink>
      <w:r w:rsidR="00824112" w:rsidRPr="00DE4E1E">
        <w:rPr>
          <w:rFonts w:ascii="Arial" w:hAnsi="Arial" w:cs="Arial"/>
          <w:b/>
          <w:sz w:val="24"/>
          <w:szCs w:val="24"/>
        </w:rPr>
        <w:t>:</w:t>
      </w:r>
      <w:r w:rsidR="00824112">
        <w:rPr>
          <w:rFonts w:ascii="Arial" w:hAnsi="Arial" w:cs="Arial"/>
          <w:sz w:val="24"/>
          <w:szCs w:val="24"/>
        </w:rPr>
        <w:t xml:space="preserve"> </w:t>
      </w:r>
      <w:r w:rsidR="00824112" w:rsidRPr="00DE4E1E">
        <w:rPr>
          <w:rFonts w:ascii="Arial" w:hAnsi="Arial" w:cs="Arial"/>
          <w:sz w:val="24"/>
        </w:rPr>
        <w:t>in cui la discussione di gruppo è finalizzata a riempire un tabellone, compilato dall’intervistator</w:t>
      </w:r>
      <w:r w:rsidR="00824112">
        <w:rPr>
          <w:rFonts w:ascii="Arial" w:hAnsi="Arial" w:cs="Arial"/>
          <w:sz w:val="24"/>
        </w:rPr>
        <w:t xml:space="preserve">e, diviso in due sezioni, una che riporta le </w:t>
      </w:r>
      <w:r w:rsidR="00824112" w:rsidRPr="00DE4E1E">
        <w:rPr>
          <w:rFonts w:ascii="Arial" w:hAnsi="Arial" w:cs="Arial"/>
          <w:i/>
          <w:sz w:val="24"/>
        </w:rPr>
        <w:t>forze trainanti</w:t>
      </w:r>
      <w:r w:rsidR="00824112" w:rsidRPr="00DE4E1E">
        <w:rPr>
          <w:rFonts w:ascii="Arial" w:hAnsi="Arial" w:cs="Arial"/>
          <w:sz w:val="24"/>
        </w:rPr>
        <w:t xml:space="preserve">, </w:t>
      </w:r>
      <w:r w:rsidR="00824112">
        <w:rPr>
          <w:rFonts w:ascii="Arial" w:hAnsi="Arial" w:cs="Arial"/>
          <w:sz w:val="24"/>
        </w:rPr>
        <w:t xml:space="preserve">cioè </w:t>
      </w:r>
      <w:r w:rsidR="00824112" w:rsidRPr="00DE4E1E">
        <w:rPr>
          <w:rFonts w:ascii="Arial" w:hAnsi="Arial" w:cs="Arial"/>
          <w:sz w:val="24"/>
        </w:rPr>
        <w:t>i p</w:t>
      </w:r>
      <w:r w:rsidR="00824112">
        <w:rPr>
          <w:rFonts w:ascii="Arial" w:hAnsi="Arial" w:cs="Arial"/>
          <w:sz w:val="24"/>
        </w:rPr>
        <w:t xml:space="preserve">ro, le opportunità, le ragioni </w:t>
      </w:r>
      <w:r w:rsidR="00824112" w:rsidRPr="00DE4E1E">
        <w:rPr>
          <w:rFonts w:ascii="Arial" w:hAnsi="Arial" w:cs="Arial"/>
          <w:sz w:val="24"/>
        </w:rPr>
        <w:t>a favore di una data de</w:t>
      </w:r>
      <w:r w:rsidR="00824112">
        <w:rPr>
          <w:rFonts w:ascii="Arial" w:hAnsi="Arial" w:cs="Arial"/>
          <w:sz w:val="24"/>
        </w:rPr>
        <w:t xml:space="preserve">cisione, l’altra riportante le </w:t>
      </w:r>
      <w:r w:rsidR="00824112" w:rsidRPr="00DE4E1E">
        <w:rPr>
          <w:rFonts w:ascii="Arial" w:hAnsi="Arial" w:cs="Arial"/>
          <w:i/>
          <w:sz w:val="24"/>
        </w:rPr>
        <w:t>forze frenanti</w:t>
      </w:r>
      <w:r w:rsidR="00824112" w:rsidRPr="00DE4E1E">
        <w:rPr>
          <w:rFonts w:ascii="Arial" w:hAnsi="Arial" w:cs="Arial"/>
          <w:sz w:val="24"/>
        </w:rPr>
        <w:t>,</w:t>
      </w:r>
      <w:r w:rsidR="00824112">
        <w:rPr>
          <w:rFonts w:ascii="Arial" w:hAnsi="Arial" w:cs="Arial"/>
          <w:sz w:val="24"/>
        </w:rPr>
        <w:t xml:space="preserve"> cioè</w:t>
      </w:r>
      <w:r w:rsidR="00824112" w:rsidRPr="00DE4E1E">
        <w:rPr>
          <w:rFonts w:ascii="Arial" w:hAnsi="Arial" w:cs="Arial"/>
          <w:sz w:val="24"/>
        </w:rPr>
        <w:t xml:space="preserve"> i contro, i rischi, le ragioni contrarie a una decisione.</w:t>
      </w:r>
    </w:p>
    <w:p w:rsidR="00770B0E" w:rsidRPr="00770B0E" w:rsidRDefault="00DE4E1E" w:rsidP="00DE4E1E">
      <w:pPr>
        <w:pStyle w:val="Paragrafoelenco"/>
        <w:numPr>
          <w:ilvl w:val="0"/>
          <w:numId w:val="1"/>
        </w:numPr>
        <w:spacing w:line="360" w:lineRule="auto"/>
        <w:rPr>
          <w:rFonts w:ascii="Arial" w:hAnsi="Arial" w:cs="Arial"/>
          <w:sz w:val="24"/>
          <w:szCs w:val="24"/>
        </w:rPr>
      </w:pPr>
      <w:r>
        <w:rPr>
          <w:rFonts w:ascii="Arial" w:hAnsi="Arial" w:cs="Arial"/>
          <w:b/>
          <w:sz w:val="24"/>
          <w:szCs w:val="24"/>
        </w:rPr>
        <w:t xml:space="preserve">Gruppo nominale: </w:t>
      </w:r>
      <w:r w:rsidRPr="00DE4E1E">
        <w:rPr>
          <w:rFonts w:ascii="Arial" w:hAnsi="Arial" w:cs="Arial"/>
          <w:sz w:val="24"/>
        </w:rPr>
        <w:t xml:space="preserve">consiste nel fare scrivere su dei foglietti, ad ogni partecipante all’inizio dell’intervista, le sue opinioni su un dato argomento. Il </w:t>
      </w:r>
      <w:hyperlink r:id="rId14" w:history="1">
        <w:r w:rsidRPr="009435DC">
          <w:rPr>
            <w:rStyle w:val="Collegamentoipertestuale"/>
            <w:rFonts w:ascii="Arial" w:hAnsi="Arial" w:cs="Arial"/>
            <w:sz w:val="24"/>
          </w:rPr>
          <w:t>moderatore</w:t>
        </w:r>
      </w:hyperlink>
      <w:r w:rsidRPr="00DE4E1E">
        <w:rPr>
          <w:rFonts w:ascii="Arial" w:hAnsi="Arial" w:cs="Arial"/>
          <w:sz w:val="24"/>
        </w:rPr>
        <w:t xml:space="preserve"> raccoglie tali opinioni, le riassume e le presenta all’intero gruppo, chiedendo poi a ciascuno dei membri una seconda volta le proprie opinion</w:t>
      </w:r>
      <w:r>
        <w:rPr>
          <w:rFonts w:ascii="Arial" w:hAnsi="Arial" w:cs="Arial"/>
          <w:sz w:val="24"/>
        </w:rPr>
        <w:t xml:space="preserve">i. </w:t>
      </w:r>
      <w:r>
        <w:rPr>
          <w:rFonts w:ascii="Verdana" w:hAnsi="Verdana"/>
        </w:rPr>
        <w:t>La tecnica non richiede necessariamente la presenza fisica dei partecipanti e può quindi essere applicata anche servendosi di strumenti di comunicazione quali la posta, le e-mail ecc, con il vantaggio di poter mantenere l’anonimato e consentire ai partecipanti maggiore libertà di espressione anche su temi trattati</w:t>
      </w:r>
      <w:r w:rsidR="00770B0E">
        <w:rPr>
          <w:rFonts w:ascii="Verdana" w:hAnsi="Verdana"/>
        </w:rPr>
        <w:t>.</w:t>
      </w:r>
    </w:p>
    <w:p w:rsidR="00DE4E1E" w:rsidRPr="00770B0E" w:rsidRDefault="009435DC" w:rsidP="00770B0E">
      <w:pPr>
        <w:pStyle w:val="Paragrafoelenco"/>
        <w:numPr>
          <w:ilvl w:val="0"/>
          <w:numId w:val="1"/>
        </w:numPr>
        <w:spacing w:line="360" w:lineRule="auto"/>
        <w:rPr>
          <w:rFonts w:ascii="Arial" w:hAnsi="Arial" w:cs="Arial"/>
          <w:sz w:val="24"/>
          <w:szCs w:val="24"/>
        </w:rPr>
      </w:pPr>
      <w:hyperlink r:id="rId15" w:history="1">
        <w:r w:rsidR="00770B0E" w:rsidRPr="009435DC">
          <w:rPr>
            <w:rStyle w:val="Collegamentoipertestuale"/>
            <w:rFonts w:ascii="Arial" w:hAnsi="Arial" w:cs="Arial"/>
            <w:b/>
            <w:sz w:val="24"/>
            <w:szCs w:val="24"/>
          </w:rPr>
          <w:t xml:space="preserve">La tecnica </w:t>
        </w:r>
        <w:proofErr w:type="spellStart"/>
        <w:r w:rsidR="00770B0E" w:rsidRPr="009435DC">
          <w:rPr>
            <w:rStyle w:val="Collegamentoipertestuale"/>
            <w:rFonts w:ascii="Arial" w:hAnsi="Arial" w:cs="Arial"/>
            <w:b/>
            <w:sz w:val="24"/>
            <w:szCs w:val="24"/>
          </w:rPr>
          <w:t>Delphi</w:t>
        </w:r>
        <w:proofErr w:type="spellEnd"/>
      </w:hyperlink>
      <w:r w:rsidR="00770B0E" w:rsidRPr="00770B0E">
        <w:rPr>
          <w:rFonts w:ascii="Arial" w:hAnsi="Arial" w:cs="Arial"/>
          <w:b/>
          <w:sz w:val="24"/>
          <w:szCs w:val="24"/>
        </w:rPr>
        <w:t xml:space="preserve">: </w:t>
      </w:r>
      <w:r w:rsidR="00770B0E" w:rsidRPr="00770B0E">
        <w:rPr>
          <w:rFonts w:ascii="Arial" w:hAnsi="Arial" w:cs="Arial"/>
          <w:sz w:val="24"/>
          <w:szCs w:val="24"/>
        </w:rPr>
        <w:t xml:space="preserve">è molto analoga a quella del gruppo nominale. I partecipanti scrivono su dei foglietti le loro previsioni sul corso di evoluzione di un dato evento e le inviano al moderatore, il quale le riassume e rinvia i risultati all’intero gruppo. I partecipanti devono quindi formulare nuove previsioni, sulla base di quanto emerso dalla consultazione dell’intero gruppo e il processo continua </w:t>
      </w:r>
      <w:r w:rsidR="00824112" w:rsidRPr="00770B0E">
        <w:rPr>
          <w:rFonts w:ascii="Arial" w:hAnsi="Arial" w:cs="Arial"/>
          <w:sz w:val="24"/>
          <w:szCs w:val="24"/>
        </w:rPr>
        <w:t>finché</w:t>
      </w:r>
      <w:r w:rsidR="00770B0E" w:rsidRPr="00770B0E">
        <w:rPr>
          <w:rFonts w:ascii="Arial" w:hAnsi="Arial" w:cs="Arial"/>
          <w:sz w:val="24"/>
          <w:szCs w:val="24"/>
        </w:rPr>
        <w:t xml:space="preserve"> si raggiunge un consenso generalizzato o non si verificano più cambiamenti nella previsione da una sessione all’altra. Questa tecnica diventa rapida e</w:t>
      </w:r>
      <w:r w:rsidR="00770B0E">
        <w:rPr>
          <w:rFonts w:ascii="Arial" w:hAnsi="Arial" w:cs="Arial"/>
          <w:sz w:val="24"/>
          <w:szCs w:val="24"/>
        </w:rPr>
        <w:t>d</w:t>
      </w:r>
      <w:r w:rsidR="00770B0E" w:rsidRPr="00770B0E">
        <w:rPr>
          <w:rFonts w:ascii="Arial" w:hAnsi="Arial" w:cs="Arial"/>
          <w:sz w:val="24"/>
          <w:szCs w:val="24"/>
        </w:rPr>
        <w:t xml:space="preserve"> economica se </w:t>
      </w:r>
      <w:r w:rsidR="00770B0E">
        <w:rPr>
          <w:rFonts w:ascii="Arial" w:hAnsi="Arial" w:cs="Arial"/>
          <w:sz w:val="24"/>
          <w:szCs w:val="24"/>
        </w:rPr>
        <w:t>espressa tramite</w:t>
      </w:r>
      <w:r w:rsidR="00770B0E" w:rsidRPr="00770B0E">
        <w:rPr>
          <w:rFonts w:ascii="Arial" w:hAnsi="Arial" w:cs="Arial"/>
          <w:sz w:val="24"/>
          <w:szCs w:val="24"/>
        </w:rPr>
        <w:t xml:space="preserve"> strumenti di comunicazione telematici.</w:t>
      </w:r>
    </w:p>
    <w:sectPr w:rsidR="00DE4E1E" w:rsidRPr="00770B0E" w:rsidSect="0074321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C02BD"/>
    <w:multiLevelType w:val="hybridMultilevel"/>
    <w:tmpl w:val="7EA636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52F30640"/>
    <w:multiLevelType w:val="hybridMultilevel"/>
    <w:tmpl w:val="06C61CB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7A864C9C"/>
    <w:multiLevelType w:val="hybridMultilevel"/>
    <w:tmpl w:val="467EB296"/>
    <w:lvl w:ilvl="0" w:tplc="E6F86640">
      <w:start w:val="1"/>
      <w:numFmt w:val="decimal"/>
      <w:lvlText w:val="%1."/>
      <w:lvlJc w:val="left"/>
      <w:pPr>
        <w:ind w:left="927"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D00FA"/>
    <w:rsid w:val="006D00FA"/>
    <w:rsid w:val="006F2F7D"/>
    <w:rsid w:val="00743211"/>
    <w:rsid w:val="00770B0E"/>
    <w:rsid w:val="00824112"/>
    <w:rsid w:val="009435DC"/>
    <w:rsid w:val="009F7B88"/>
    <w:rsid w:val="00A85665"/>
    <w:rsid w:val="00B25856"/>
    <w:rsid w:val="00B8542D"/>
    <w:rsid w:val="00CF7F93"/>
    <w:rsid w:val="00DE4E1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4321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6D00FA"/>
    <w:rPr>
      <w:color w:val="0000FF" w:themeColor="hyperlink"/>
      <w:u w:val="single"/>
    </w:rPr>
  </w:style>
  <w:style w:type="paragraph" w:styleId="Paragrafoelenco">
    <w:name w:val="List Paragraph"/>
    <w:basedOn w:val="Normale"/>
    <w:uiPriority w:val="34"/>
    <w:qFormat/>
    <w:rsid w:val="00A8566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Brainstorming" TargetMode="External"/><Relationship Id="rId13" Type="http://schemas.openxmlformats.org/officeDocument/2006/relationships/hyperlink" Target="http://www.12manage.com/methods_lewin_force_field_analysis_it.html" TargetMode="External"/><Relationship Id="rId3" Type="http://schemas.openxmlformats.org/officeDocument/2006/relationships/settings" Target="settings.xml"/><Relationship Id="rId7" Type="http://schemas.openxmlformats.org/officeDocument/2006/relationships/hyperlink" Target="http://it.wikipedia.org/wiki/Focus_group" TargetMode="External"/><Relationship Id="rId12" Type="http://schemas.openxmlformats.org/officeDocument/2006/relationships/hyperlink" Target="http://www.problemsetting.it/pages/ishikawa.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izionari.hoepli.it/Dizionario_Italiano/cerca.aspx?idD=1&amp;query=dibattito" TargetMode="External"/><Relationship Id="rId11" Type="http://schemas.openxmlformats.org/officeDocument/2006/relationships/hyperlink" Target="http://dizionari.hoepli.it/Dizionario_Italiano/cerca.aspx?idD=1&amp;query=similitudine" TargetMode="External"/><Relationship Id="rId5" Type="http://schemas.openxmlformats.org/officeDocument/2006/relationships/hyperlink" Target="mailto:laura9933@supereva.it" TargetMode="External"/><Relationship Id="rId15" Type="http://schemas.openxmlformats.org/officeDocument/2006/relationships/hyperlink" Target="http://www.irre-vda.org/nuovairre/valutazione/index.cfm/tecnica-delphi_1-105-0-0.html" TargetMode="External"/><Relationship Id="rId10" Type="http://schemas.openxmlformats.org/officeDocument/2006/relationships/hyperlink" Target="http://it.wikipedia.org/wiki/Post-it" TargetMode="External"/><Relationship Id="rId4" Type="http://schemas.openxmlformats.org/officeDocument/2006/relationships/webSettings" Target="webSettings.xml"/><Relationship Id="rId9" Type="http://schemas.openxmlformats.org/officeDocument/2006/relationships/hyperlink" Target="http://www.problemsetting.it/pages/diagr_aff.htm" TargetMode="External"/><Relationship Id="rId14" Type="http://schemas.openxmlformats.org/officeDocument/2006/relationships/hyperlink" Target="http://it.wikipedia.org/wiki/Moderatore_(interne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696</Words>
  <Characters>3968</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OEM</Company>
  <LinksUpToDate>false</LinksUpToDate>
  <CharactersWithSpaces>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3</cp:revision>
  <dcterms:created xsi:type="dcterms:W3CDTF">2009-05-15T14:38:00Z</dcterms:created>
  <dcterms:modified xsi:type="dcterms:W3CDTF">2009-05-15T16:54:00Z</dcterms:modified>
</cp:coreProperties>
</file>