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BCD" w:rsidRDefault="00CC4E46">
      <w:pPr>
        <w:rPr>
          <w:rFonts w:ascii="Arial" w:hAnsi="Arial" w:cs="Arial"/>
          <w:b/>
          <w:sz w:val="40"/>
        </w:rPr>
      </w:pPr>
      <w:r w:rsidRPr="00CC4E46">
        <w:rPr>
          <w:rFonts w:ascii="Arial" w:hAnsi="Arial" w:cs="Arial"/>
          <w:b/>
          <w:sz w:val="40"/>
        </w:rPr>
        <w:t>Le operazioni concettuali della ricerca educativa:</w:t>
      </w:r>
    </w:p>
    <w:p w:rsidR="00CC4E46" w:rsidRDefault="00CC4E46">
      <w:pPr>
        <w:rPr>
          <w:rFonts w:ascii="Arial" w:hAnsi="Arial" w:cs="Arial"/>
          <w:sz w:val="24"/>
          <w:szCs w:val="24"/>
        </w:rPr>
      </w:pPr>
      <w:r>
        <w:rPr>
          <w:rFonts w:ascii="Arial" w:hAnsi="Arial" w:cs="Arial"/>
          <w:sz w:val="24"/>
          <w:szCs w:val="24"/>
        </w:rPr>
        <w:t>Di Laura Basile</w:t>
      </w:r>
    </w:p>
    <w:p w:rsidR="00CC4E46" w:rsidRDefault="000918BC">
      <w:pPr>
        <w:rPr>
          <w:rFonts w:ascii="Arial" w:hAnsi="Arial" w:cs="Arial"/>
          <w:sz w:val="24"/>
          <w:szCs w:val="24"/>
        </w:rPr>
      </w:pPr>
      <w:hyperlink r:id="rId5" w:history="1">
        <w:r w:rsidR="00CC4E46" w:rsidRPr="00512FDE">
          <w:rPr>
            <w:rStyle w:val="Collegamentoipertestuale"/>
            <w:rFonts w:ascii="Arial" w:hAnsi="Arial" w:cs="Arial"/>
            <w:sz w:val="24"/>
            <w:szCs w:val="24"/>
          </w:rPr>
          <w:t>laura9933@supereva.it</w:t>
        </w:r>
      </w:hyperlink>
    </w:p>
    <w:p w:rsidR="00CC4E46" w:rsidRDefault="00CC4E46">
      <w:pPr>
        <w:rPr>
          <w:rFonts w:ascii="Arial" w:hAnsi="Arial" w:cs="Arial"/>
          <w:sz w:val="24"/>
          <w:szCs w:val="24"/>
        </w:rPr>
      </w:pPr>
    </w:p>
    <w:p w:rsidR="00A36FBC" w:rsidRDefault="00CC4E46">
      <w:pPr>
        <w:rPr>
          <w:rFonts w:ascii="Arial" w:hAnsi="Arial" w:cs="Arial"/>
          <w:sz w:val="24"/>
        </w:rPr>
      </w:pPr>
      <w:r w:rsidRPr="00A36FBC">
        <w:rPr>
          <w:rFonts w:ascii="Arial" w:hAnsi="Arial" w:cs="Arial"/>
          <w:sz w:val="24"/>
        </w:rPr>
        <w:t xml:space="preserve">Ogni ricerca educativa deve necessariamente seguire delle operazioni,le quali richiedono da parte del ricercatore un desiderio di </w:t>
      </w:r>
      <w:hyperlink r:id="rId6" w:history="1">
        <w:r w:rsidRPr="00FD0706">
          <w:rPr>
            <w:rStyle w:val="Collegamentoipertestuale"/>
            <w:rFonts w:ascii="Arial" w:hAnsi="Arial" w:cs="Arial"/>
            <w:sz w:val="24"/>
          </w:rPr>
          <w:t>indagare</w:t>
        </w:r>
      </w:hyperlink>
      <w:r w:rsidRPr="00A36FBC">
        <w:rPr>
          <w:rFonts w:ascii="Arial" w:hAnsi="Arial" w:cs="Arial"/>
          <w:sz w:val="24"/>
        </w:rPr>
        <w:t xml:space="preserve"> e di non fermarsi all’apparenza delle cose, concettualizzando e sistematizzando</w:t>
      </w:r>
      <w:r w:rsidR="00A36FBC" w:rsidRPr="00A36FBC">
        <w:rPr>
          <w:rFonts w:ascii="Arial" w:hAnsi="Arial" w:cs="Arial"/>
          <w:sz w:val="24"/>
        </w:rPr>
        <w:t>.</w:t>
      </w:r>
    </w:p>
    <w:p w:rsidR="00CC4E46" w:rsidRDefault="00CC4E46" w:rsidP="008173E9">
      <w:pPr>
        <w:spacing w:line="360" w:lineRule="auto"/>
        <w:rPr>
          <w:rFonts w:ascii="Arial" w:hAnsi="Arial" w:cs="Arial"/>
          <w:sz w:val="24"/>
          <w:szCs w:val="24"/>
        </w:rPr>
      </w:pPr>
      <w:r>
        <w:rPr>
          <w:rFonts w:ascii="Arial" w:hAnsi="Arial" w:cs="Arial"/>
          <w:sz w:val="24"/>
          <w:szCs w:val="24"/>
        </w:rPr>
        <w:t>Le operazione logiche di base della ricerca educativa sono:</w:t>
      </w:r>
    </w:p>
    <w:p w:rsidR="00A36FBC" w:rsidRPr="00A36FBC" w:rsidRDefault="00A36FBC" w:rsidP="008173E9">
      <w:pPr>
        <w:pStyle w:val="Paragrafoelenco"/>
        <w:numPr>
          <w:ilvl w:val="0"/>
          <w:numId w:val="1"/>
        </w:numPr>
        <w:spacing w:line="360" w:lineRule="auto"/>
        <w:rPr>
          <w:rFonts w:ascii="Arial" w:hAnsi="Arial" w:cs="Arial"/>
          <w:b/>
          <w:i/>
          <w:sz w:val="24"/>
        </w:rPr>
      </w:pPr>
      <w:r w:rsidRPr="00A36FBC">
        <w:rPr>
          <w:rFonts w:ascii="Arial" w:hAnsi="Arial" w:cs="Arial"/>
          <w:b/>
          <w:i/>
          <w:sz w:val="24"/>
        </w:rPr>
        <w:t>Descrizione:</w:t>
      </w:r>
      <w:r>
        <w:rPr>
          <w:rFonts w:ascii="Arial" w:hAnsi="Arial" w:cs="Arial"/>
          <w:b/>
          <w:i/>
          <w:sz w:val="24"/>
        </w:rPr>
        <w:t xml:space="preserve"> </w:t>
      </w:r>
      <w:r>
        <w:rPr>
          <w:rFonts w:ascii="Arial" w:hAnsi="Arial" w:cs="Arial"/>
          <w:sz w:val="24"/>
        </w:rPr>
        <w:t xml:space="preserve">costruire una </w:t>
      </w:r>
      <w:hyperlink r:id="rId7" w:history="1">
        <w:r w:rsidRPr="00FD0706">
          <w:rPr>
            <w:rStyle w:val="Collegamentoipertestuale"/>
            <w:rFonts w:ascii="Arial" w:hAnsi="Arial" w:cs="Arial"/>
            <w:sz w:val="24"/>
          </w:rPr>
          <w:t>rappresentazione</w:t>
        </w:r>
      </w:hyperlink>
      <w:r>
        <w:rPr>
          <w:rFonts w:ascii="Arial" w:hAnsi="Arial" w:cs="Arial"/>
          <w:sz w:val="24"/>
        </w:rPr>
        <w:t xml:space="preserve"> di una data realtà, dei soggetti, dei fattori e dei contesti. Questa descrizione si avvale di tecniche di descrizione come tabelle, grafici e resoconti. Tutto questo rappresenta la formulazione di un insieme di asserti, che possono essere infiniti, compatibili con i dati empirici raccolti su quella data realtà educativa.</w:t>
      </w:r>
    </w:p>
    <w:p w:rsidR="00A36FBC" w:rsidRPr="00F376DF" w:rsidRDefault="00A36FBC" w:rsidP="008173E9">
      <w:pPr>
        <w:pStyle w:val="Paragrafoelenco"/>
        <w:numPr>
          <w:ilvl w:val="0"/>
          <w:numId w:val="1"/>
        </w:numPr>
        <w:spacing w:line="360" w:lineRule="auto"/>
        <w:rPr>
          <w:rFonts w:ascii="Arial" w:hAnsi="Arial" w:cs="Arial"/>
          <w:b/>
          <w:i/>
          <w:sz w:val="24"/>
        </w:rPr>
      </w:pPr>
      <w:r>
        <w:rPr>
          <w:rFonts w:ascii="Arial" w:hAnsi="Arial" w:cs="Arial"/>
          <w:b/>
          <w:i/>
          <w:sz w:val="24"/>
        </w:rPr>
        <w:t>Interpretazione:</w:t>
      </w:r>
      <w:r>
        <w:rPr>
          <w:rFonts w:ascii="Arial" w:hAnsi="Arial" w:cs="Arial"/>
          <w:sz w:val="24"/>
        </w:rPr>
        <w:t xml:space="preserve"> dei dati raccolti sul campo, servono ad assegnare un senso ad un insieme di fatti (es. la traduzione di un brano da una lingua ad un'altra).  Il ricercatore interpreta l’evidenza empirica, assegna un senso ai dati ponendosi nella prospettiva dei soggetti studiati</w:t>
      </w:r>
      <w:r w:rsidR="00F376DF">
        <w:rPr>
          <w:rFonts w:ascii="Arial" w:hAnsi="Arial" w:cs="Arial"/>
          <w:sz w:val="24"/>
        </w:rPr>
        <w:t xml:space="preserve"> (approccio </w:t>
      </w:r>
      <w:hyperlink r:id="rId8" w:history="1">
        <w:r w:rsidR="00F376DF" w:rsidRPr="00FD0706">
          <w:rPr>
            <w:rStyle w:val="Collegamentoipertestuale"/>
            <w:rFonts w:ascii="Arial" w:hAnsi="Arial" w:cs="Arial"/>
            <w:sz w:val="24"/>
          </w:rPr>
          <w:t>emico</w:t>
        </w:r>
      </w:hyperlink>
      <w:r w:rsidR="00F376DF">
        <w:rPr>
          <w:rFonts w:ascii="Arial" w:hAnsi="Arial" w:cs="Arial"/>
          <w:sz w:val="24"/>
        </w:rPr>
        <w:t>)</w:t>
      </w:r>
      <w:r>
        <w:rPr>
          <w:rFonts w:ascii="Arial" w:hAnsi="Arial" w:cs="Arial"/>
          <w:sz w:val="24"/>
        </w:rPr>
        <w:t xml:space="preserve"> oppure nella prospettiva di un osservatore esterno</w:t>
      </w:r>
      <w:r w:rsidR="00F376DF">
        <w:rPr>
          <w:rFonts w:ascii="Arial" w:hAnsi="Arial" w:cs="Arial"/>
          <w:sz w:val="24"/>
        </w:rPr>
        <w:t xml:space="preserve"> (approccio epico). L’</w:t>
      </w:r>
      <w:hyperlink r:id="rId9" w:history="1">
        <w:r w:rsidR="00F376DF" w:rsidRPr="00B74F97">
          <w:rPr>
            <w:rStyle w:val="Collegamentoipertestuale"/>
            <w:rFonts w:ascii="Arial" w:hAnsi="Arial" w:cs="Arial"/>
            <w:sz w:val="24"/>
          </w:rPr>
          <w:t>interpretazione</w:t>
        </w:r>
      </w:hyperlink>
      <w:r w:rsidR="00F376DF">
        <w:rPr>
          <w:rFonts w:ascii="Arial" w:hAnsi="Arial" w:cs="Arial"/>
          <w:sz w:val="24"/>
        </w:rPr>
        <w:t xml:space="preserve"> richiede una corretta argomentazione logica e punta, tendenzialmente, a rendere manifesto ciò che è implicito, </w:t>
      </w:r>
      <w:hyperlink r:id="rId10" w:history="1">
        <w:r w:rsidR="00F376DF" w:rsidRPr="00B74F97">
          <w:rPr>
            <w:rStyle w:val="Collegamentoipertestuale"/>
            <w:rFonts w:ascii="Arial" w:hAnsi="Arial" w:cs="Arial"/>
            <w:sz w:val="24"/>
          </w:rPr>
          <w:t>latente</w:t>
        </w:r>
      </w:hyperlink>
      <w:r w:rsidR="00F376DF">
        <w:rPr>
          <w:rFonts w:ascii="Arial" w:hAnsi="Arial" w:cs="Arial"/>
          <w:sz w:val="24"/>
        </w:rPr>
        <w:t>, ignoto o nascosto. Per l’ontologia realista, l’interpretazione,  è intesa come il passaggio da un insieme di dati grezzi ad una struttura che tenga conto delle relazioni tra fattori; invece per l’ontologia costruttivista l’interpretazione implica l’applicazione degli schemi mentali del ricercatore sulla realtà.</w:t>
      </w:r>
    </w:p>
    <w:p w:rsidR="00F376DF" w:rsidRPr="008173E9" w:rsidRDefault="00F376DF" w:rsidP="008173E9">
      <w:pPr>
        <w:pStyle w:val="Paragrafoelenco"/>
        <w:numPr>
          <w:ilvl w:val="0"/>
          <w:numId w:val="1"/>
        </w:numPr>
        <w:spacing w:line="360" w:lineRule="auto"/>
        <w:rPr>
          <w:rFonts w:ascii="Arial" w:hAnsi="Arial" w:cs="Arial"/>
          <w:b/>
          <w:i/>
          <w:sz w:val="24"/>
        </w:rPr>
      </w:pPr>
      <w:r>
        <w:rPr>
          <w:rFonts w:ascii="Arial" w:hAnsi="Arial" w:cs="Arial"/>
          <w:b/>
          <w:i/>
          <w:sz w:val="24"/>
        </w:rPr>
        <w:t>Spiegazione:</w:t>
      </w:r>
      <w:r>
        <w:rPr>
          <w:rFonts w:ascii="Arial" w:hAnsi="Arial" w:cs="Arial"/>
          <w:sz w:val="24"/>
        </w:rPr>
        <w:t xml:space="preserve"> </w:t>
      </w:r>
      <w:r w:rsidR="008173E9">
        <w:rPr>
          <w:rFonts w:ascii="Arial" w:hAnsi="Arial" w:cs="Arial"/>
          <w:sz w:val="24"/>
        </w:rPr>
        <w:t>riscontro di regolarità tra combinazioni di eventi o fattori, presuppone la presenza di una struttura che governa la realtà. Il ricercatore che mira alla spiegazione non studia il soggetto nella sua globalità, ma come testimone di una relazione tra fattori.</w:t>
      </w:r>
    </w:p>
    <w:p w:rsidR="008173E9" w:rsidRPr="00D85473" w:rsidRDefault="008173E9" w:rsidP="008173E9">
      <w:pPr>
        <w:pStyle w:val="Paragrafoelenco"/>
        <w:numPr>
          <w:ilvl w:val="0"/>
          <w:numId w:val="1"/>
        </w:numPr>
        <w:spacing w:line="360" w:lineRule="auto"/>
        <w:rPr>
          <w:rFonts w:ascii="Arial" w:hAnsi="Arial" w:cs="Arial"/>
          <w:b/>
          <w:i/>
          <w:sz w:val="24"/>
        </w:rPr>
      </w:pPr>
      <w:r>
        <w:rPr>
          <w:rFonts w:ascii="Arial" w:hAnsi="Arial" w:cs="Arial"/>
          <w:b/>
          <w:i/>
          <w:sz w:val="24"/>
        </w:rPr>
        <w:t>Comprensione:</w:t>
      </w:r>
      <w:r>
        <w:rPr>
          <w:rFonts w:ascii="Arial" w:hAnsi="Arial" w:cs="Arial"/>
          <w:sz w:val="24"/>
        </w:rPr>
        <w:t xml:space="preserve"> per il ricercatore è immedesimarsi nei panni dei soggetti studiati acquisendo il massimo delle informazioni e studiandoli nella loro globalità. La comprensione ricostruisce gli elementi</w:t>
      </w:r>
      <w:r w:rsidR="00D85473">
        <w:rPr>
          <w:rFonts w:ascii="Arial" w:hAnsi="Arial" w:cs="Arial"/>
          <w:sz w:val="24"/>
        </w:rPr>
        <w:t xml:space="preserve"> che portano un soggetto a prendere una scelta razionale. L’oggetto specifico di analisi è l’azione umana, l’obiettivo, dunque, è quello di mettere in evidenza la </w:t>
      </w:r>
      <w:hyperlink r:id="rId11" w:history="1">
        <w:r w:rsidR="00D85473" w:rsidRPr="00B74F97">
          <w:rPr>
            <w:rStyle w:val="Collegamentoipertestuale"/>
            <w:rFonts w:ascii="Arial" w:hAnsi="Arial" w:cs="Arial"/>
            <w:sz w:val="24"/>
          </w:rPr>
          <w:t>razionalità</w:t>
        </w:r>
      </w:hyperlink>
      <w:r w:rsidR="00D85473">
        <w:rPr>
          <w:rFonts w:ascii="Arial" w:hAnsi="Arial" w:cs="Arial"/>
          <w:sz w:val="24"/>
        </w:rPr>
        <w:t xml:space="preserve"> dei comportamenti dell’attore. Questa azione necessita di un ontologia </w:t>
      </w:r>
      <w:proofErr w:type="spellStart"/>
      <w:r w:rsidR="00D85473">
        <w:rPr>
          <w:rFonts w:ascii="Arial" w:hAnsi="Arial" w:cs="Arial"/>
          <w:sz w:val="24"/>
        </w:rPr>
        <w:t>interpretivista</w:t>
      </w:r>
      <w:proofErr w:type="spellEnd"/>
      <w:r w:rsidR="00D85473">
        <w:rPr>
          <w:rFonts w:ascii="Arial" w:hAnsi="Arial" w:cs="Arial"/>
          <w:sz w:val="24"/>
        </w:rPr>
        <w:t xml:space="preserve">, cioè che il ricercatore deve lavorare </w:t>
      </w:r>
      <w:r w:rsidR="00D85473">
        <w:rPr>
          <w:rFonts w:ascii="Arial" w:hAnsi="Arial" w:cs="Arial"/>
          <w:sz w:val="24"/>
        </w:rPr>
        <w:lastRenderedPageBreak/>
        <w:t>in profondità su un minimo gruppo di soggetti considerati nella loro interezza. La comprensione necessita di una ricostruzione del senso attribuito dagli attori alle loro azioni per coglierne i significati così come vengono interpretati dai soggetti coinvolti.</w:t>
      </w:r>
    </w:p>
    <w:p w:rsidR="00D85473" w:rsidRPr="00074544" w:rsidRDefault="00D85473" w:rsidP="008173E9">
      <w:pPr>
        <w:pStyle w:val="Paragrafoelenco"/>
        <w:numPr>
          <w:ilvl w:val="0"/>
          <w:numId w:val="1"/>
        </w:numPr>
        <w:spacing w:line="360" w:lineRule="auto"/>
        <w:rPr>
          <w:rFonts w:ascii="Arial" w:hAnsi="Arial" w:cs="Arial"/>
          <w:b/>
          <w:i/>
          <w:sz w:val="24"/>
        </w:rPr>
      </w:pPr>
      <w:r>
        <w:rPr>
          <w:rFonts w:ascii="Arial" w:hAnsi="Arial" w:cs="Arial"/>
          <w:b/>
          <w:i/>
          <w:sz w:val="24"/>
        </w:rPr>
        <w:t>Previsione:</w:t>
      </w:r>
      <w:r>
        <w:rPr>
          <w:rFonts w:ascii="Arial" w:hAnsi="Arial" w:cs="Arial"/>
          <w:sz w:val="24"/>
        </w:rPr>
        <w:t xml:space="preserve"> sia la spiegazione che la comprensione possono fornire dati utili per la </w:t>
      </w:r>
      <w:hyperlink r:id="rId12" w:history="1">
        <w:r w:rsidRPr="00B74F97">
          <w:rPr>
            <w:rStyle w:val="Collegamentoipertestuale"/>
            <w:rFonts w:ascii="Arial" w:hAnsi="Arial" w:cs="Arial"/>
            <w:sz w:val="24"/>
          </w:rPr>
          <w:t>previsione</w:t>
        </w:r>
      </w:hyperlink>
      <w:r>
        <w:rPr>
          <w:rFonts w:ascii="Arial" w:hAnsi="Arial" w:cs="Arial"/>
          <w:sz w:val="24"/>
        </w:rPr>
        <w:t xml:space="preserve"> di fatti e comportamenti. </w:t>
      </w:r>
      <w:r w:rsidR="00074544">
        <w:rPr>
          <w:rFonts w:ascii="Arial" w:hAnsi="Arial" w:cs="Arial"/>
          <w:sz w:val="24"/>
        </w:rPr>
        <w:t>Nella spiegazione a partire dalle tendenze strutturali del sistema sarà possibile prevedere tutti gli stati assunti da un fattore sulla base degli stati assunti dai fattori che lo spiegano anche se in situazioni differenti. Nella comprensione invece il ricercatore potrà prevedere i comportamenti analoghi alla presenza di condizioni analoghe alla prima studiata.</w:t>
      </w:r>
    </w:p>
    <w:p w:rsidR="00586FAB" w:rsidRPr="00586FAB" w:rsidRDefault="00074544" w:rsidP="00586FAB">
      <w:pPr>
        <w:spacing w:line="360" w:lineRule="auto"/>
        <w:ind w:left="708"/>
        <w:rPr>
          <w:rFonts w:ascii="Arial" w:hAnsi="Arial" w:cs="Arial"/>
          <w:sz w:val="24"/>
        </w:rPr>
      </w:pPr>
      <w:r>
        <w:rPr>
          <w:rFonts w:ascii="Arial" w:hAnsi="Arial" w:cs="Arial"/>
          <w:b/>
          <w:i/>
          <w:sz w:val="24"/>
        </w:rPr>
        <w:t>Comparazione:</w:t>
      </w:r>
      <w:r>
        <w:rPr>
          <w:rFonts w:ascii="Arial" w:hAnsi="Arial" w:cs="Arial"/>
          <w:sz w:val="24"/>
        </w:rPr>
        <w:t xml:space="preserve"> </w:t>
      </w:r>
      <w:r w:rsidR="00586FAB">
        <w:rPr>
          <w:rFonts w:ascii="Arial" w:hAnsi="Arial" w:cs="Arial"/>
          <w:sz w:val="24"/>
        </w:rPr>
        <w:t>deduzione di un legame tra fattori comuni e due realtà distinte. I</w:t>
      </w:r>
      <w:r>
        <w:rPr>
          <w:rFonts w:ascii="Arial" w:hAnsi="Arial" w:cs="Arial"/>
          <w:sz w:val="24"/>
        </w:rPr>
        <w:t>l ricercatore può dedurre un legame tra fattori comuni, ottenendo delle spiegazioni di fattori sulla base di altri fattori</w:t>
      </w:r>
      <w:r w:rsidR="00586FAB">
        <w:rPr>
          <w:rFonts w:ascii="Arial" w:hAnsi="Arial" w:cs="Arial"/>
          <w:sz w:val="24"/>
        </w:rPr>
        <w:t xml:space="preserve">. </w:t>
      </w:r>
      <w:hyperlink r:id="rId13" w:history="1">
        <w:r w:rsidR="00586FAB" w:rsidRPr="00FD0706">
          <w:rPr>
            <w:rStyle w:val="Collegamentoipertestuale"/>
            <w:rFonts w:ascii="Arial" w:hAnsi="Arial" w:cs="Arial"/>
            <w:sz w:val="24"/>
          </w:rPr>
          <w:t xml:space="preserve">Stuart </w:t>
        </w:r>
        <w:proofErr w:type="spellStart"/>
        <w:r w:rsidR="00586FAB" w:rsidRPr="00FD0706">
          <w:rPr>
            <w:rStyle w:val="Collegamentoipertestuale"/>
            <w:rFonts w:ascii="Arial" w:hAnsi="Arial" w:cs="Arial"/>
            <w:sz w:val="24"/>
          </w:rPr>
          <w:t>Mill</w:t>
        </w:r>
        <w:proofErr w:type="spellEnd"/>
      </w:hyperlink>
      <w:r w:rsidR="00586FAB" w:rsidRPr="00586FAB">
        <w:rPr>
          <w:rFonts w:ascii="Arial" w:hAnsi="Arial" w:cs="Arial"/>
          <w:sz w:val="24"/>
        </w:rPr>
        <w:t xml:space="preserve"> definì i quattro canoni alla base delle logiche delle operazioni comparative: </w:t>
      </w:r>
    </w:p>
    <w:p w:rsidR="00586FAB" w:rsidRPr="00586FAB" w:rsidRDefault="00586FAB" w:rsidP="00586FAB">
      <w:pPr>
        <w:numPr>
          <w:ilvl w:val="0"/>
          <w:numId w:val="2"/>
        </w:numPr>
        <w:spacing w:after="0" w:line="360" w:lineRule="auto"/>
        <w:rPr>
          <w:rFonts w:ascii="Arial" w:hAnsi="Arial" w:cs="Arial"/>
          <w:sz w:val="24"/>
        </w:rPr>
      </w:pPr>
      <w:r w:rsidRPr="00586FAB">
        <w:rPr>
          <w:rFonts w:ascii="Arial" w:hAnsi="Arial" w:cs="Arial"/>
          <w:b/>
          <w:i/>
          <w:sz w:val="24"/>
        </w:rPr>
        <w:t>Canone della concordanza</w:t>
      </w:r>
      <w:r>
        <w:rPr>
          <w:rFonts w:ascii="Arial" w:hAnsi="Arial" w:cs="Arial"/>
          <w:sz w:val="24"/>
        </w:rPr>
        <w:t xml:space="preserve">; </w:t>
      </w:r>
      <w:r w:rsidRPr="00586FAB">
        <w:rPr>
          <w:rFonts w:ascii="Arial" w:hAnsi="Arial" w:cs="Arial"/>
          <w:sz w:val="24"/>
        </w:rPr>
        <w:t>due o più casi del fenomeno hanno un’unica circostanza in comune, essa  è la</w:t>
      </w:r>
      <w:r>
        <w:rPr>
          <w:rFonts w:ascii="Arial" w:hAnsi="Arial" w:cs="Arial"/>
          <w:sz w:val="24"/>
        </w:rPr>
        <w:t xml:space="preserve"> causa, o effetto, del fenomeno.</w:t>
      </w:r>
    </w:p>
    <w:p w:rsidR="00586FAB" w:rsidRPr="00586FAB" w:rsidRDefault="00586FAB" w:rsidP="00586FAB">
      <w:pPr>
        <w:numPr>
          <w:ilvl w:val="0"/>
          <w:numId w:val="2"/>
        </w:numPr>
        <w:spacing w:after="0" w:line="360" w:lineRule="auto"/>
        <w:rPr>
          <w:rFonts w:ascii="Arial" w:hAnsi="Arial" w:cs="Arial"/>
          <w:sz w:val="24"/>
        </w:rPr>
      </w:pPr>
      <w:r w:rsidRPr="00586FAB">
        <w:rPr>
          <w:rFonts w:ascii="Arial" w:hAnsi="Arial" w:cs="Arial"/>
          <w:b/>
          <w:i/>
          <w:sz w:val="24"/>
        </w:rPr>
        <w:t>Canone della differenza</w:t>
      </w:r>
      <w:r>
        <w:rPr>
          <w:rFonts w:ascii="Arial" w:hAnsi="Arial" w:cs="Arial"/>
          <w:sz w:val="24"/>
        </w:rPr>
        <w:t xml:space="preserve">; </w:t>
      </w:r>
      <w:r w:rsidRPr="00586FAB">
        <w:rPr>
          <w:rFonts w:ascii="Arial" w:hAnsi="Arial" w:cs="Arial"/>
          <w:sz w:val="24"/>
        </w:rPr>
        <w:t xml:space="preserve">se nei vari casi in cui il fenomeno può manifestarsi o meno ogni </w:t>
      </w:r>
      <w:hyperlink r:id="rId14" w:history="1">
        <w:r w:rsidRPr="002E34E5">
          <w:rPr>
            <w:rStyle w:val="Collegamentoipertestuale"/>
            <w:rFonts w:ascii="Arial" w:hAnsi="Arial" w:cs="Arial"/>
            <w:sz w:val="24"/>
          </w:rPr>
          <w:t>circostanza</w:t>
        </w:r>
      </w:hyperlink>
      <w:r w:rsidRPr="00586FAB">
        <w:rPr>
          <w:rFonts w:ascii="Arial" w:hAnsi="Arial" w:cs="Arial"/>
          <w:sz w:val="24"/>
        </w:rPr>
        <w:t xml:space="preserve"> è in comune tranne una, essa è</w:t>
      </w:r>
      <w:r>
        <w:rPr>
          <w:rFonts w:ascii="Arial" w:hAnsi="Arial" w:cs="Arial"/>
          <w:sz w:val="24"/>
        </w:rPr>
        <w:t xml:space="preserve"> effetto, o causa, del fenomeno.</w:t>
      </w:r>
    </w:p>
    <w:p w:rsidR="00586FAB" w:rsidRPr="00586FAB" w:rsidRDefault="00586FAB" w:rsidP="00586FAB">
      <w:pPr>
        <w:numPr>
          <w:ilvl w:val="0"/>
          <w:numId w:val="2"/>
        </w:numPr>
        <w:spacing w:after="0" w:line="360" w:lineRule="auto"/>
        <w:rPr>
          <w:rFonts w:ascii="Arial" w:hAnsi="Arial" w:cs="Arial"/>
          <w:sz w:val="24"/>
        </w:rPr>
      </w:pPr>
      <w:r w:rsidRPr="00586FAB">
        <w:rPr>
          <w:rFonts w:ascii="Arial" w:hAnsi="Arial" w:cs="Arial"/>
          <w:b/>
          <w:i/>
          <w:sz w:val="24"/>
        </w:rPr>
        <w:t>Canone congiunto di concordanza o differenza</w:t>
      </w:r>
      <w:r>
        <w:rPr>
          <w:rFonts w:ascii="Arial" w:hAnsi="Arial" w:cs="Arial"/>
          <w:color w:val="0066CC"/>
          <w:szCs w:val="20"/>
        </w:rPr>
        <w:t xml:space="preserve">; </w:t>
      </w:r>
      <w:r w:rsidRPr="00586FAB">
        <w:rPr>
          <w:rFonts w:ascii="Arial" w:hAnsi="Arial" w:cs="Arial"/>
          <w:sz w:val="24"/>
        </w:rPr>
        <w:t>se due casi o più casi nei quali il fenomeno si manifesta hanno soltanto una circostanza in comune, mentre due o più casi nei quali non si manifesta non hanno niente in comune oltre l’assenza di quella circostanza, l’unica circostanza nella quale i due gruppi differiscono è l’effetto, o la causa, del fenomeno.</w:t>
      </w:r>
    </w:p>
    <w:p w:rsidR="00074544" w:rsidRPr="00586FAB" w:rsidRDefault="00586FAB" w:rsidP="00586FAB">
      <w:pPr>
        <w:numPr>
          <w:ilvl w:val="0"/>
          <w:numId w:val="2"/>
        </w:numPr>
        <w:spacing w:after="0" w:line="360" w:lineRule="auto"/>
        <w:rPr>
          <w:rFonts w:ascii="Arial" w:hAnsi="Arial" w:cs="Arial"/>
          <w:sz w:val="24"/>
        </w:rPr>
      </w:pPr>
      <w:r w:rsidRPr="00586FAB">
        <w:rPr>
          <w:rFonts w:ascii="Arial" w:hAnsi="Arial" w:cs="Arial"/>
          <w:b/>
          <w:i/>
          <w:sz w:val="24"/>
        </w:rPr>
        <w:t>Canone delle variazioni concomitanti</w:t>
      </w:r>
      <w:r>
        <w:rPr>
          <w:rFonts w:ascii="Arial" w:hAnsi="Arial" w:cs="Arial"/>
          <w:sz w:val="24"/>
        </w:rPr>
        <w:t xml:space="preserve">; </w:t>
      </w:r>
      <w:r w:rsidRPr="00586FAB">
        <w:rPr>
          <w:rFonts w:ascii="Arial" w:hAnsi="Arial" w:cs="Arial"/>
          <w:sz w:val="24"/>
        </w:rPr>
        <w:t xml:space="preserve">qualsiasi </w:t>
      </w:r>
      <w:hyperlink r:id="rId15" w:history="1">
        <w:r w:rsidRPr="002E34E5">
          <w:rPr>
            <w:rStyle w:val="Collegamentoipertestuale"/>
            <w:rFonts w:ascii="Arial" w:hAnsi="Arial" w:cs="Arial"/>
            <w:sz w:val="24"/>
          </w:rPr>
          <w:t>fenomeno</w:t>
        </w:r>
      </w:hyperlink>
      <w:r w:rsidRPr="00586FAB">
        <w:rPr>
          <w:rFonts w:ascii="Arial" w:hAnsi="Arial" w:cs="Arial"/>
          <w:sz w:val="24"/>
        </w:rPr>
        <w:t xml:space="preserve"> che vari ogni volta che un altro fenomeno varia è o una caus</w:t>
      </w:r>
      <w:r>
        <w:rPr>
          <w:rFonts w:ascii="Arial" w:hAnsi="Arial" w:cs="Arial"/>
          <w:sz w:val="24"/>
        </w:rPr>
        <w:t>a o un effetto di quel fenomeno.</w:t>
      </w:r>
    </w:p>
    <w:sectPr w:rsidR="00074544" w:rsidRPr="00586FAB" w:rsidSect="00786BC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96CCB"/>
    <w:multiLevelType w:val="hybridMultilevel"/>
    <w:tmpl w:val="D7AC9B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4EA0511"/>
    <w:multiLevelType w:val="hybridMultilevel"/>
    <w:tmpl w:val="1FA8B17E"/>
    <w:lvl w:ilvl="0" w:tplc="04100001">
      <w:start w:val="1"/>
      <w:numFmt w:val="bullet"/>
      <w:lvlText w:val=""/>
      <w:lvlJc w:val="left"/>
      <w:pPr>
        <w:tabs>
          <w:tab w:val="num" w:pos="1428"/>
        </w:tabs>
        <w:ind w:left="1428" w:hanging="360"/>
      </w:pPr>
      <w:rPr>
        <w:rFonts w:ascii="Symbol" w:hAnsi="Symbol" w:hint="default"/>
      </w:rPr>
    </w:lvl>
    <w:lvl w:ilvl="1" w:tplc="04100003" w:tentative="1">
      <w:start w:val="1"/>
      <w:numFmt w:val="bullet"/>
      <w:lvlText w:val="o"/>
      <w:lvlJc w:val="left"/>
      <w:pPr>
        <w:tabs>
          <w:tab w:val="num" w:pos="2148"/>
        </w:tabs>
        <w:ind w:left="2148" w:hanging="360"/>
      </w:pPr>
      <w:rPr>
        <w:rFonts w:ascii="Courier New" w:hAnsi="Courier New" w:cs="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CC4E46"/>
    <w:rsid w:val="00074544"/>
    <w:rsid w:val="000918BC"/>
    <w:rsid w:val="002E34E5"/>
    <w:rsid w:val="00586FAB"/>
    <w:rsid w:val="00786BCD"/>
    <w:rsid w:val="008173E9"/>
    <w:rsid w:val="00A36FBC"/>
    <w:rsid w:val="00B74F97"/>
    <w:rsid w:val="00CC4E46"/>
    <w:rsid w:val="00D85473"/>
    <w:rsid w:val="00F376DF"/>
    <w:rsid w:val="00FD070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86BC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CC4E46"/>
    <w:rPr>
      <w:color w:val="0000FF" w:themeColor="hyperlink"/>
      <w:u w:val="single"/>
    </w:rPr>
  </w:style>
  <w:style w:type="paragraph" w:styleId="Paragrafoelenco">
    <w:name w:val="List Paragraph"/>
    <w:basedOn w:val="Normale"/>
    <w:uiPriority w:val="34"/>
    <w:qFormat/>
    <w:rsid w:val="00A36FB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t.wikipedia.org/wiki/Emico" TargetMode="External"/><Relationship Id="rId13" Type="http://schemas.openxmlformats.org/officeDocument/2006/relationships/hyperlink" Target="http://it.wikipedia.org/wiki/John_Stuart_Mill" TargetMode="External"/><Relationship Id="rId3" Type="http://schemas.openxmlformats.org/officeDocument/2006/relationships/settings" Target="settings.xml"/><Relationship Id="rId7" Type="http://schemas.openxmlformats.org/officeDocument/2006/relationships/hyperlink" Target="http://www.ildizionario.eu/risultati.asp?page=1&amp;order=id&amp;key=rappresentazione&amp;come=ITALIANO" TargetMode="External"/><Relationship Id="rId12" Type="http://schemas.openxmlformats.org/officeDocument/2006/relationships/hyperlink" Target="http://www.ildizionario.eu/risultati.asp?page=1&amp;order=id&amp;key=previsione&amp;come=ITALIAN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ldizionario.eu/significato/i/dizionario-indagare.asp" TargetMode="External"/><Relationship Id="rId11" Type="http://schemas.openxmlformats.org/officeDocument/2006/relationships/hyperlink" Target="http://it.wikipedia.org/wiki/Razionalit%C3%A0" TargetMode="External"/><Relationship Id="rId5" Type="http://schemas.openxmlformats.org/officeDocument/2006/relationships/hyperlink" Target="mailto:laura9933@supereva.it" TargetMode="External"/><Relationship Id="rId15" Type="http://schemas.openxmlformats.org/officeDocument/2006/relationships/hyperlink" Target="http://it.wikipedia.org/wiki/Fenomeno" TargetMode="External"/><Relationship Id="rId10" Type="http://schemas.openxmlformats.org/officeDocument/2006/relationships/hyperlink" Target="http://it.wikipedia.org/wiki/Contenuto_latente" TargetMode="External"/><Relationship Id="rId4" Type="http://schemas.openxmlformats.org/officeDocument/2006/relationships/webSettings" Target="webSettings.xml"/><Relationship Id="rId9" Type="http://schemas.openxmlformats.org/officeDocument/2006/relationships/hyperlink" Target="http://it.wikipedia.org/wiki/Interpretazione" TargetMode="External"/><Relationship Id="rId14" Type="http://schemas.openxmlformats.org/officeDocument/2006/relationships/hyperlink" Target="http://it.wikipedia.org/wiki/Circostanz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2</Pages>
  <Words>736</Words>
  <Characters>4196</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OEM</Company>
  <LinksUpToDate>false</LinksUpToDate>
  <CharactersWithSpaces>4923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dc:creator>
  <cp:keywords/>
  <dc:description/>
  <cp:lastModifiedBy>Laura</cp:lastModifiedBy>
  <cp:revision>2</cp:revision>
  <dcterms:created xsi:type="dcterms:W3CDTF">2009-05-14T09:01:00Z</dcterms:created>
  <dcterms:modified xsi:type="dcterms:W3CDTF">2009-05-14T10:46:00Z</dcterms:modified>
</cp:coreProperties>
</file>